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D5245" w14:textId="4932054A" w:rsidR="00AB0321" w:rsidRDefault="001D4828" w:rsidP="00AB0321">
      <w:pPr>
        <w:pStyle w:val="Title"/>
        <w:jc w:val="right"/>
      </w:pPr>
      <w:r>
        <w:t>S</w:t>
      </w:r>
      <w:r w:rsidR="00AB0321">
        <w:t>upporting Data Release Notes</w:t>
      </w:r>
      <w:r w:rsidR="00C57D9C">
        <w:t xml:space="preserve"> – </w:t>
      </w:r>
      <w:r w:rsidR="00CA42C8">
        <w:t>4.</w:t>
      </w:r>
      <w:r w:rsidR="003848F7">
        <w:t>6</w:t>
      </w:r>
      <w:r w:rsidR="00122561">
        <w:t>2</w:t>
      </w:r>
    </w:p>
    <w:p w14:paraId="598F9EF2" w14:textId="4C821591" w:rsidR="00C95079" w:rsidRPr="00C95079" w:rsidRDefault="00013BA7" w:rsidP="00C95079">
      <w:pPr>
        <w:jc w:val="right"/>
      </w:pPr>
      <w:r>
        <w:t>May 23, 2025</w:t>
      </w:r>
    </w:p>
    <w:p w14:paraId="21D3C741" w14:textId="77777777" w:rsidR="00CB636E" w:rsidRDefault="00CB636E" w:rsidP="0020694B">
      <w:pPr>
        <w:pStyle w:val="Heading1"/>
      </w:pPr>
      <w:r w:rsidRPr="0020694B">
        <w:t>Overview</w:t>
      </w:r>
    </w:p>
    <w:p w14:paraId="0C5A115B" w14:textId="338058F4" w:rsidR="000140D7" w:rsidRDefault="000140D7" w:rsidP="00006062">
      <w:r>
        <w:t>Release 4.62 includes significant contraindication improvements. Existing vaccine specific contraindications for discontinued (or never U.S. active vaccines) have been removed. New vaccine specific contraindications were added for combination vaccines to support cross-antigen contraindications. For example, if a patient has a specific contraindication to HepB vaccination the patient should be contraindicated to Twinrix in both the HepA and HepB supporting data.</w:t>
      </w:r>
    </w:p>
    <w:p w14:paraId="29189110" w14:textId="0A4EBC7A" w:rsidR="00CB636E" w:rsidRDefault="000140D7" w:rsidP="00A81F07">
      <w:r>
        <w:t xml:space="preserve">This release notes document </w:t>
      </w:r>
      <w:r w:rsidRPr="0027353F">
        <w:t>provide</w:t>
      </w:r>
      <w:r>
        <w:t>s</w:t>
      </w:r>
      <w:r w:rsidRPr="0027353F">
        <w:t xml:space="preserve"> a high-level list of changes.  </w:t>
      </w:r>
      <w:r w:rsidR="00E74605" w:rsidRPr="0027353F">
        <w:t xml:space="preserve">More specific details can be found inside supporting data spreadsheets </w:t>
      </w:r>
      <w:r w:rsidR="001F0E5B" w:rsidRPr="0027353F">
        <w:t>i</w:t>
      </w:r>
      <w:r w:rsidR="00E74605" w:rsidRPr="0027353F">
        <w:t>n the Change History tab.</w:t>
      </w:r>
      <w:r>
        <w:t xml:space="preserve"> A color-coded version of the Supporting Data changes from 4.61 to 4.62 is available upon request. Please email </w:t>
      </w:r>
      <w:hyperlink r:id="rId7" w:history="1">
        <w:r w:rsidRPr="00D166F9">
          <w:rPr>
            <w:rStyle w:val="Hyperlink"/>
          </w:rPr>
          <w:t>iisinfo@cdc.gov</w:t>
        </w:r>
      </w:hyperlink>
      <w:r>
        <w:t>.</w:t>
      </w:r>
    </w:p>
    <w:p w14:paraId="2E02A4C1" w14:textId="5F07F407" w:rsidR="0008107D" w:rsidRDefault="002B3341" w:rsidP="0008107D">
      <w:pPr>
        <w:pStyle w:val="Heading1"/>
      </w:pPr>
      <w:r>
        <w:t>Structural</w:t>
      </w:r>
      <w:r w:rsidR="00E37499">
        <w:t xml:space="preserve"> Changes</w:t>
      </w:r>
    </w:p>
    <w:p w14:paraId="1656EB7F" w14:textId="7BA11930" w:rsidR="006319E0" w:rsidRPr="00D901AC" w:rsidRDefault="00C42B55" w:rsidP="00C42B55">
      <w:pPr>
        <w:pStyle w:val="ListParagraph"/>
        <w:numPr>
          <w:ilvl w:val="0"/>
          <w:numId w:val="1"/>
        </w:numPr>
        <w:rPr>
          <w:rStyle w:val="Hyperlink"/>
          <w:color w:val="auto"/>
          <w:u w:val="none"/>
        </w:rPr>
      </w:pPr>
      <w:r>
        <w:rPr>
          <w:rStyle w:val="Hyperlink"/>
          <w:color w:val="auto"/>
          <w:u w:val="none"/>
        </w:rPr>
        <w:t>n/a</w:t>
      </w:r>
    </w:p>
    <w:p w14:paraId="7FB36385" w14:textId="4D923F6E" w:rsidR="00F45DEC" w:rsidRDefault="00F45DEC" w:rsidP="0020694B">
      <w:pPr>
        <w:pStyle w:val="Heading1"/>
      </w:pPr>
      <w:r>
        <w:t xml:space="preserve">Schedule </w:t>
      </w:r>
      <w:r w:rsidR="00797799">
        <w:t xml:space="preserve">Supporting Data </w:t>
      </w:r>
      <w:r>
        <w:t>Changes</w:t>
      </w:r>
    </w:p>
    <w:p w14:paraId="350738EB" w14:textId="203FC68B" w:rsidR="005242E3" w:rsidRDefault="005242E3" w:rsidP="005242E3">
      <w:pPr>
        <w:pStyle w:val="Caption"/>
        <w:keepNext/>
      </w:pPr>
      <w:r>
        <w:t xml:space="preserve">Table 1: </w:t>
      </w:r>
      <w:r w:rsidR="00E24B97">
        <w:t>Schedule</w:t>
      </w:r>
      <w:r>
        <w:t xml:space="preserve"> Supporting Data Changes</w:t>
      </w:r>
    </w:p>
    <w:tbl>
      <w:tblPr>
        <w:tblStyle w:val="TableGrid"/>
        <w:tblW w:w="0" w:type="auto"/>
        <w:tblInd w:w="198" w:type="dxa"/>
        <w:tblLook w:val="04A0" w:firstRow="1" w:lastRow="0" w:firstColumn="1" w:lastColumn="0" w:noHBand="0" w:noVBand="1"/>
        <w:tblCaption w:val="Antigen Series Supporting Data Changes"/>
        <w:tblDescription w:val="This table summarizes the antigen-level supporting data changes in the current release"/>
      </w:tblPr>
      <w:tblGrid>
        <w:gridCol w:w="2247"/>
        <w:gridCol w:w="8345"/>
      </w:tblGrid>
      <w:tr w:rsidR="00670538" w:rsidRPr="00F45DEC" w14:paraId="7722C238" w14:textId="77777777" w:rsidTr="00B60BFE">
        <w:tc>
          <w:tcPr>
            <w:tcW w:w="2247" w:type="dxa"/>
            <w:shd w:val="clear" w:color="auto" w:fill="auto"/>
          </w:tcPr>
          <w:p w14:paraId="23CB03AE" w14:textId="77777777" w:rsidR="00670538" w:rsidRPr="00483214" w:rsidRDefault="00670538" w:rsidP="005242E3">
            <w:pPr>
              <w:rPr>
                <w:b/>
              </w:rPr>
            </w:pPr>
            <w:r>
              <w:rPr>
                <w:b/>
              </w:rPr>
              <w:t>Supporting Data</w:t>
            </w:r>
          </w:p>
        </w:tc>
        <w:tc>
          <w:tcPr>
            <w:tcW w:w="8345" w:type="dxa"/>
            <w:shd w:val="clear" w:color="auto" w:fill="auto"/>
          </w:tcPr>
          <w:p w14:paraId="3E58FE5B" w14:textId="77777777" w:rsidR="00670538" w:rsidRPr="00797799" w:rsidRDefault="00670538" w:rsidP="005242E3">
            <w:pPr>
              <w:rPr>
                <w:b/>
              </w:rPr>
            </w:pPr>
            <w:r w:rsidRPr="00797799">
              <w:rPr>
                <w:b/>
              </w:rPr>
              <w:t>Change</w:t>
            </w:r>
          </w:p>
        </w:tc>
      </w:tr>
      <w:tr w:rsidR="00670538" w:rsidRPr="000C4E84" w14:paraId="2004C824" w14:textId="77777777" w:rsidTr="00911F50">
        <w:tc>
          <w:tcPr>
            <w:tcW w:w="2247" w:type="dxa"/>
            <w:shd w:val="clear" w:color="auto" w:fill="auto"/>
          </w:tcPr>
          <w:p w14:paraId="0B81E465" w14:textId="278F2C85" w:rsidR="00670538" w:rsidRDefault="00413E13" w:rsidP="00476DD8">
            <w:pPr>
              <w:tabs>
                <w:tab w:val="right" w:pos="2031"/>
              </w:tabs>
            </w:pPr>
            <w:r>
              <w:t>Coded Observations</w:t>
            </w:r>
          </w:p>
        </w:tc>
        <w:tc>
          <w:tcPr>
            <w:tcW w:w="8345" w:type="dxa"/>
            <w:shd w:val="clear" w:color="auto" w:fill="auto"/>
          </w:tcPr>
          <w:p w14:paraId="7AB44B20" w14:textId="77777777" w:rsidR="006E461E" w:rsidRDefault="00413E13" w:rsidP="0094259B">
            <w:pPr>
              <w:pStyle w:val="ListParagraph"/>
              <w:numPr>
                <w:ilvl w:val="0"/>
                <w:numId w:val="7"/>
              </w:numPr>
            </w:pPr>
            <w:r w:rsidRPr="00661635">
              <w:t>Added new code 275 - persons at risk during a measles outbreak</w:t>
            </w:r>
          </w:p>
          <w:p w14:paraId="1123A886" w14:textId="59980114" w:rsidR="00F93A06" w:rsidRPr="00661635" w:rsidRDefault="00F93A06" w:rsidP="0094259B">
            <w:pPr>
              <w:pStyle w:val="ListParagraph"/>
              <w:numPr>
                <w:ilvl w:val="0"/>
                <w:numId w:val="7"/>
              </w:numPr>
            </w:pPr>
            <w:r>
              <w:t>Added new code 276 – person is aged 60 years or older</w:t>
            </w:r>
            <w:r w:rsidR="00911F50">
              <w:t xml:space="preserve"> (for Chikungunya safety pause)</w:t>
            </w:r>
          </w:p>
        </w:tc>
      </w:tr>
    </w:tbl>
    <w:p w14:paraId="2C3F221C" w14:textId="7856C5D0" w:rsidR="00AB0321" w:rsidRPr="000C4E84" w:rsidRDefault="00AB0321" w:rsidP="0020694B">
      <w:pPr>
        <w:pStyle w:val="Heading1"/>
      </w:pPr>
      <w:r w:rsidRPr="000C4E84">
        <w:t xml:space="preserve">Antigen Series </w:t>
      </w:r>
      <w:r w:rsidR="00797799" w:rsidRPr="000C4E84">
        <w:t>Supporting Data</w:t>
      </w:r>
      <w:r w:rsidRPr="000C4E84">
        <w:t xml:space="preserve"> Changes</w:t>
      </w:r>
    </w:p>
    <w:p w14:paraId="0D0C595B" w14:textId="42356ADB" w:rsidR="00346275" w:rsidRPr="000C4E84" w:rsidRDefault="00346275" w:rsidP="00346275">
      <w:pPr>
        <w:pStyle w:val="Caption"/>
        <w:keepNext/>
      </w:pPr>
      <w:r w:rsidRPr="000C4E84">
        <w:t xml:space="preserve">Table </w:t>
      </w:r>
      <w:r w:rsidR="005242E3" w:rsidRPr="000C4E84">
        <w:t>2</w:t>
      </w:r>
      <w:r w:rsidRPr="000C4E84">
        <w:t>: Antigen Series Specific Supporting Data Changes</w:t>
      </w:r>
    </w:p>
    <w:tbl>
      <w:tblPr>
        <w:tblStyle w:val="TableGrid"/>
        <w:tblW w:w="0" w:type="auto"/>
        <w:tblInd w:w="198" w:type="dxa"/>
        <w:tblLook w:val="04A0" w:firstRow="1" w:lastRow="0" w:firstColumn="1" w:lastColumn="0" w:noHBand="0" w:noVBand="1"/>
        <w:tblCaption w:val="Antigen Series Supporting Data Changes"/>
        <w:tblDescription w:val="This table summarizes the antigen-level supporting data changes in the current release"/>
      </w:tblPr>
      <w:tblGrid>
        <w:gridCol w:w="2247"/>
        <w:gridCol w:w="8345"/>
      </w:tblGrid>
      <w:tr w:rsidR="00911F50" w:rsidRPr="000C4E84" w14:paraId="25FEB993" w14:textId="77777777" w:rsidTr="00B60BFE">
        <w:tc>
          <w:tcPr>
            <w:tcW w:w="2247" w:type="dxa"/>
            <w:shd w:val="clear" w:color="auto" w:fill="auto"/>
          </w:tcPr>
          <w:p w14:paraId="16A8505D" w14:textId="77777777" w:rsidR="00911F50" w:rsidRPr="000C4E84" w:rsidRDefault="00911F50" w:rsidP="00F45DEC">
            <w:pPr>
              <w:rPr>
                <w:b/>
              </w:rPr>
            </w:pPr>
            <w:r w:rsidRPr="000C4E84">
              <w:rPr>
                <w:b/>
              </w:rPr>
              <w:t>Supporting Data</w:t>
            </w:r>
          </w:p>
        </w:tc>
        <w:tc>
          <w:tcPr>
            <w:tcW w:w="8345" w:type="dxa"/>
            <w:shd w:val="clear" w:color="auto" w:fill="auto"/>
          </w:tcPr>
          <w:p w14:paraId="521FB8BB" w14:textId="77777777" w:rsidR="00911F50" w:rsidRPr="000C4E84" w:rsidRDefault="00911F50" w:rsidP="00797799">
            <w:pPr>
              <w:rPr>
                <w:b/>
              </w:rPr>
            </w:pPr>
            <w:r w:rsidRPr="000C4E84">
              <w:rPr>
                <w:b/>
              </w:rPr>
              <w:t>Change</w:t>
            </w:r>
          </w:p>
        </w:tc>
      </w:tr>
      <w:tr w:rsidR="00911F50" w:rsidRPr="000C4E84" w14:paraId="23130756" w14:textId="77777777" w:rsidTr="00911F50">
        <w:tc>
          <w:tcPr>
            <w:tcW w:w="2247" w:type="dxa"/>
            <w:shd w:val="clear" w:color="auto" w:fill="auto"/>
          </w:tcPr>
          <w:p w14:paraId="3821F580" w14:textId="77777777" w:rsidR="00911F50" w:rsidRPr="00EF6192" w:rsidRDefault="00911F50" w:rsidP="00F45DEC">
            <w:pPr>
              <w:rPr>
                <w:bCs/>
              </w:rPr>
            </w:pPr>
            <w:r>
              <w:rPr>
                <w:bCs/>
              </w:rPr>
              <w:t>Chikungunya</w:t>
            </w:r>
          </w:p>
        </w:tc>
        <w:tc>
          <w:tcPr>
            <w:tcW w:w="8345" w:type="dxa"/>
            <w:shd w:val="clear" w:color="auto" w:fill="auto"/>
          </w:tcPr>
          <w:p w14:paraId="09D3F2B7" w14:textId="77777777" w:rsidR="00911F50" w:rsidRPr="00EF6192" w:rsidRDefault="00911F50" w:rsidP="00EF6192">
            <w:pPr>
              <w:pStyle w:val="ListParagraph"/>
              <w:numPr>
                <w:ilvl w:val="0"/>
                <w:numId w:val="7"/>
              </w:numPr>
              <w:rPr>
                <w:b/>
              </w:rPr>
            </w:pPr>
            <w:r>
              <w:rPr>
                <w:bCs/>
              </w:rPr>
              <w:t xml:space="preserve">FDA and CDC have issued a pause on the use of </w:t>
            </w:r>
            <w:proofErr w:type="spellStart"/>
            <w:r>
              <w:rPr>
                <w:bCs/>
              </w:rPr>
              <w:t>Ixchiq</w:t>
            </w:r>
            <w:proofErr w:type="spellEnd"/>
            <w:r>
              <w:rPr>
                <w:bCs/>
              </w:rPr>
              <w:t xml:space="preserve"> in persons 60 years or older. </w:t>
            </w:r>
          </w:p>
        </w:tc>
      </w:tr>
      <w:tr w:rsidR="00911F50" w:rsidRPr="000C4E84" w14:paraId="2538CBC4" w14:textId="77777777" w:rsidTr="00911F50">
        <w:tc>
          <w:tcPr>
            <w:tcW w:w="2247" w:type="dxa"/>
            <w:shd w:val="clear" w:color="auto" w:fill="auto"/>
          </w:tcPr>
          <w:p w14:paraId="2C0D3234" w14:textId="77777777" w:rsidR="00911F50" w:rsidRPr="00AA38F5" w:rsidRDefault="00911F50" w:rsidP="009273A3">
            <w:pPr>
              <w:rPr>
                <w:bCs/>
              </w:rPr>
            </w:pPr>
            <w:r>
              <w:rPr>
                <w:bCs/>
              </w:rPr>
              <w:t>COVID-19</w:t>
            </w:r>
          </w:p>
        </w:tc>
        <w:tc>
          <w:tcPr>
            <w:tcW w:w="8345" w:type="dxa"/>
            <w:shd w:val="clear" w:color="auto" w:fill="auto"/>
          </w:tcPr>
          <w:p w14:paraId="114BC511" w14:textId="77777777" w:rsidR="00911F50" w:rsidRDefault="00911F50" w:rsidP="009273A3">
            <w:pPr>
              <w:pStyle w:val="ListParagraph"/>
              <w:numPr>
                <w:ilvl w:val="0"/>
                <w:numId w:val="7"/>
              </w:numPr>
              <w:rPr>
                <w:bCs/>
              </w:rPr>
            </w:pPr>
            <w:r>
              <w:rPr>
                <w:bCs/>
              </w:rPr>
              <w:t>Removed vaccine-specific contraindications where the vaccines are no longer active U.S. vaccine products</w:t>
            </w:r>
          </w:p>
          <w:p w14:paraId="22D3DE4A" w14:textId="77777777" w:rsidR="00911F50" w:rsidRDefault="00911F50" w:rsidP="009273A3">
            <w:pPr>
              <w:pStyle w:val="ListParagraph"/>
              <w:numPr>
                <w:ilvl w:val="0"/>
                <w:numId w:val="7"/>
              </w:numPr>
              <w:rPr>
                <w:bCs/>
              </w:rPr>
            </w:pPr>
            <w:r>
              <w:rPr>
                <w:bCs/>
              </w:rPr>
              <w:t>Adjusted skip condition context on last dose of age-based series</w:t>
            </w:r>
          </w:p>
          <w:p w14:paraId="350390CE" w14:textId="77777777" w:rsidR="00911F50" w:rsidRDefault="00911F50" w:rsidP="009273A3">
            <w:pPr>
              <w:pStyle w:val="ListParagraph"/>
              <w:numPr>
                <w:ilvl w:val="0"/>
                <w:numId w:val="7"/>
              </w:numPr>
              <w:rPr>
                <w:bCs/>
              </w:rPr>
            </w:pPr>
            <w:r>
              <w:rPr>
                <w:bCs/>
              </w:rPr>
              <w:t>Added a maximum age on dose 1 of the Novavax early start series</w:t>
            </w:r>
          </w:p>
          <w:p w14:paraId="64D6F318" w14:textId="77777777" w:rsidR="00911F50" w:rsidRPr="00AA38F5" w:rsidRDefault="00911F50" w:rsidP="009273A3">
            <w:pPr>
              <w:pStyle w:val="ListParagraph"/>
              <w:numPr>
                <w:ilvl w:val="0"/>
                <w:numId w:val="7"/>
              </w:numPr>
              <w:rPr>
                <w:bCs/>
              </w:rPr>
            </w:pPr>
            <w:r>
              <w:rPr>
                <w:bCs/>
              </w:rPr>
              <w:t>Created empty (e.g., all n/a) Age entries into all age and risk-based series focused on persons starting vaccination under 5 years of age</w:t>
            </w:r>
          </w:p>
        </w:tc>
      </w:tr>
      <w:tr w:rsidR="00911F50" w:rsidRPr="000C4E84" w14:paraId="226844A9" w14:textId="77777777" w:rsidTr="00FE53A8">
        <w:tc>
          <w:tcPr>
            <w:tcW w:w="2247" w:type="dxa"/>
            <w:shd w:val="clear" w:color="auto" w:fill="auto"/>
          </w:tcPr>
          <w:p w14:paraId="0EEDF533" w14:textId="77777777" w:rsidR="00911F50" w:rsidRDefault="00911F50" w:rsidP="009273A3">
            <w:pPr>
              <w:rPr>
                <w:bCs/>
              </w:rPr>
            </w:pPr>
            <w:r>
              <w:rPr>
                <w:bCs/>
              </w:rPr>
              <w:t>Diphtheria</w:t>
            </w:r>
          </w:p>
        </w:tc>
        <w:tc>
          <w:tcPr>
            <w:tcW w:w="8345" w:type="dxa"/>
            <w:shd w:val="clear" w:color="auto" w:fill="auto"/>
          </w:tcPr>
          <w:p w14:paraId="59E45495" w14:textId="77777777" w:rsidR="00911F50" w:rsidRDefault="00911F50" w:rsidP="009273A3">
            <w:pPr>
              <w:pStyle w:val="ListParagraph"/>
              <w:numPr>
                <w:ilvl w:val="0"/>
                <w:numId w:val="7"/>
              </w:numPr>
              <w:rPr>
                <w:bCs/>
              </w:rPr>
            </w:pPr>
            <w:r>
              <w:rPr>
                <w:bCs/>
              </w:rPr>
              <w:t>Added new antigen contraindications</w:t>
            </w:r>
          </w:p>
          <w:p w14:paraId="278DB4AB" w14:textId="77777777" w:rsidR="00911F50" w:rsidRDefault="00911F50" w:rsidP="001757BE">
            <w:pPr>
              <w:pStyle w:val="ListParagraph"/>
              <w:numPr>
                <w:ilvl w:val="0"/>
                <w:numId w:val="7"/>
              </w:numPr>
              <w:spacing w:after="200" w:line="276" w:lineRule="auto"/>
              <w:rPr>
                <w:bCs/>
              </w:rPr>
            </w:pPr>
            <w:r>
              <w:rPr>
                <w:bCs/>
              </w:rPr>
              <w:t>Removed vaccine-specific contraindications where the vaccines are no longer active U.S. vaccine products</w:t>
            </w:r>
          </w:p>
          <w:p w14:paraId="0258C41D" w14:textId="77777777" w:rsidR="00911F50" w:rsidRPr="001757BE" w:rsidRDefault="00911F50" w:rsidP="001757BE">
            <w:pPr>
              <w:pStyle w:val="ListParagraph"/>
              <w:numPr>
                <w:ilvl w:val="0"/>
                <w:numId w:val="7"/>
              </w:numPr>
              <w:spacing w:after="200" w:line="276" w:lineRule="auto"/>
              <w:rPr>
                <w:bCs/>
              </w:rPr>
            </w:pPr>
            <w:r>
              <w:rPr>
                <w:bCs/>
              </w:rPr>
              <w:t>Added new vaccine-specific contraindications for combination vaccines. Combination vaccines are contraindicated when any single component is contraindicated</w:t>
            </w:r>
          </w:p>
        </w:tc>
      </w:tr>
      <w:tr w:rsidR="00911F50" w:rsidRPr="000C4E84" w14:paraId="4C76EB75" w14:textId="77777777" w:rsidTr="00203D2C">
        <w:tc>
          <w:tcPr>
            <w:tcW w:w="2247" w:type="dxa"/>
            <w:shd w:val="clear" w:color="auto" w:fill="auto"/>
          </w:tcPr>
          <w:p w14:paraId="151EBCC0" w14:textId="77777777" w:rsidR="00911F50" w:rsidRDefault="00911F50" w:rsidP="009273A3">
            <w:pPr>
              <w:rPr>
                <w:bCs/>
              </w:rPr>
            </w:pPr>
            <w:r>
              <w:rPr>
                <w:bCs/>
              </w:rPr>
              <w:t>HepA</w:t>
            </w:r>
          </w:p>
        </w:tc>
        <w:tc>
          <w:tcPr>
            <w:tcW w:w="8345" w:type="dxa"/>
            <w:shd w:val="clear" w:color="auto" w:fill="auto"/>
          </w:tcPr>
          <w:p w14:paraId="573BC274" w14:textId="77777777" w:rsidR="00911F50" w:rsidRDefault="00911F50" w:rsidP="009273A3">
            <w:pPr>
              <w:pStyle w:val="ListParagraph"/>
              <w:numPr>
                <w:ilvl w:val="0"/>
                <w:numId w:val="7"/>
              </w:numPr>
              <w:rPr>
                <w:bCs/>
              </w:rPr>
            </w:pPr>
            <w:r>
              <w:rPr>
                <w:bCs/>
              </w:rPr>
              <w:t>Added new vaccine-specific contraindications for combination vaccines. Combination vaccines are contraindicated when any single component is contraindicated</w:t>
            </w:r>
          </w:p>
          <w:p w14:paraId="2A9FB887" w14:textId="77777777" w:rsidR="00911F50" w:rsidRDefault="00911F50" w:rsidP="007F2167">
            <w:pPr>
              <w:pStyle w:val="ListParagraph"/>
              <w:numPr>
                <w:ilvl w:val="0"/>
                <w:numId w:val="7"/>
              </w:numPr>
              <w:spacing w:after="200" w:line="276" w:lineRule="auto"/>
              <w:rPr>
                <w:bCs/>
              </w:rPr>
            </w:pPr>
            <w:r>
              <w:rPr>
                <w:bCs/>
              </w:rPr>
              <w:lastRenderedPageBreak/>
              <w:t>Added HIV Infection with known severity (codes 154 and 155) to existing series with HIV Infection without documented severity (code 186). Any evidence of HIV infection would indicate vaccination.</w:t>
            </w:r>
          </w:p>
        </w:tc>
      </w:tr>
      <w:tr w:rsidR="00911F50" w:rsidRPr="000C4E84" w14:paraId="01704303" w14:textId="77777777" w:rsidTr="00911F50">
        <w:tc>
          <w:tcPr>
            <w:tcW w:w="2247" w:type="dxa"/>
            <w:shd w:val="clear" w:color="auto" w:fill="auto"/>
          </w:tcPr>
          <w:p w14:paraId="0933CE3C" w14:textId="77777777" w:rsidR="00911F50" w:rsidRDefault="00911F50" w:rsidP="001355F0">
            <w:pPr>
              <w:rPr>
                <w:bCs/>
              </w:rPr>
            </w:pPr>
            <w:r>
              <w:rPr>
                <w:bCs/>
              </w:rPr>
              <w:lastRenderedPageBreak/>
              <w:t>HepB</w:t>
            </w:r>
          </w:p>
        </w:tc>
        <w:tc>
          <w:tcPr>
            <w:tcW w:w="8345" w:type="dxa"/>
            <w:shd w:val="clear" w:color="auto" w:fill="auto"/>
          </w:tcPr>
          <w:p w14:paraId="237B8866" w14:textId="77777777" w:rsidR="00911F50" w:rsidRDefault="00911F50" w:rsidP="001355F0">
            <w:pPr>
              <w:pStyle w:val="ListParagraph"/>
              <w:numPr>
                <w:ilvl w:val="0"/>
                <w:numId w:val="7"/>
              </w:numPr>
              <w:rPr>
                <w:bCs/>
              </w:rPr>
            </w:pPr>
            <w:r>
              <w:rPr>
                <w:bCs/>
              </w:rPr>
              <w:t>Removed vaccine-specific contraindications where the vaccines are no longer active U.S. vaccine products</w:t>
            </w:r>
          </w:p>
          <w:p w14:paraId="552C7829" w14:textId="77777777" w:rsidR="00911F50" w:rsidRDefault="00911F50" w:rsidP="001355F0">
            <w:pPr>
              <w:pStyle w:val="ListParagraph"/>
              <w:numPr>
                <w:ilvl w:val="0"/>
                <w:numId w:val="7"/>
              </w:numPr>
              <w:rPr>
                <w:bCs/>
              </w:rPr>
            </w:pPr>
            <w:r>
              <w:rPr>
                <w:bCs/>
              </w:rPr>
              <w:t>Added new vaccine-specific contraindications for combination vaccines. Combination vaccines are contraindicated when any single component is contraindicated</w:t>
            </w:r>
          </w:p>
          <w:p w14:paraId="260AA532" w14:textId="77777777" w:rsidR="00911F50" w:rsidRDefault="00911F50" w:rsidP="001355F0">
            <w:pPr>
              <w:pStyle w:val="ListParagraph"/>
              <w:numPr>
                <w:ilvl w:val="0"/>
                <w:numId w:val="7"/>
              </w:numPr>
              <w:rPr>
                <w:bCs/>
              </w:rPr>
            </w:pPr>
            <w:r>
              <w:rPr>
                <w:bCs/>
              </w:rPr>
              <w:t>Added HIV Infection with known severity (codes 154 and 155) to existing series with HIV Infection without documented severity (code 186). Any evidence of HIV infection would indicate vaccination.</w:t>
            </w:r>
          </w:p>
        </w:tc>
      </w:tr>
      <w:tr w:rsidR="00911F50" w:rsidRPr="000C4E84" w14:paraId="49682718" w14:textId="77777777" w:rsidTr="00911F50">
        <w:tc>
          <w:tcPr>
            <w:tcW w:w="2247" w:type="dxa"/>
            <w:shd w:val="clear" w:color="auto" w:fill="auto"/>
          </w:tcPr>
          <w:p w14:paraId="4AC78761" w14:textId="77777777" w:rsidR="00911F50" w:rsidRPr="00480902" w:rsidRDefault="00911F50" w:rsidP="009273A3">
            <w:pPr>
              <w:rPr>
                <w:bCs/>
              </w:rPr>
            </w:pPr>
            <w:r w:rsidRPr="00480902">
              <w:rPr>
                <w:bCs/>
              </w:rPr>
              <w:t>Hib</w:t>
            </w:r>
          </w:p>
        </w:tc>
        <w:tc>
          <w:tcPr>
            <w:tcW w:w="8345" w:type="dxa"/>
            <w:shd w:val="clear" w:color="auto" w:fill="auto"/>
          </w:tcPr>
          <w:p w14:paraId="63A18468" w14:textId="77777777" w:rsidR="00911F50" w:rsidRPr="00480902" w:rsidRDefault="00911F50" w:rsidP="009273A3">
            <w:pPr>
              <w:pStyle w:val="ListParagraph"/>
              <w:numPr>
                <w:ilvl w:val="0"/>
                <w:numId w:val="7"/>
              </w:numPr>
              <w:rPr>
                <w:bCs/>
              </w:rPr>
            </w:pPr>
            <w:r w:rsidRPr="00480902">
              <w:rPr>
                <w:bCs/>
              </w:rPr>
              <w:t>Removed 2 contraindications (Chemotherapy and radiation therapy) as these were also an indication causing confusion. The intent of the contraindication was moved to be administrative guidance of the indication</w:t>
            </w:r>
          </w:p>
          <w:p w14:paraId="46616BDD" w14:textId="77777777" w:rsidR="00911F50" w:rsidRDefault="00911F50" w:rsidP="001757BE">
            <w:pPr>
              <w:pStyle w:val="ListParagraph"/>
              <w:numPr>
                <w:ilvl w:val="0"/>
                <w:numId w:val="7"/>
              </w:numPr>
              <w:spacing w:after="200" w:line="276" w:lineRule="auto"/>
              <w:rPr>
                <w:bCs/>
              </w:rPr>
            </w:pPr>
            <w:r>
              <w:rPr>
                <w:bCs/>
              </w:rPr>
              <w:t>Removed vaccine-specific contraindications where the vaccines are no longer active U.S. vaccine products</w:t>
            </w:r>
          </w:p>
          <w:p w14:paraId="2273CE36" w14:textId="77777777" w:rsidR="00911F50" w:rsidRDefault="00911F50" w:rsidP="001757BE">
            <w:pPr>
              <w:pStyle w:val="ListParagraph"/>
              <w:numPr>
                <w:ilvl w:val="0"/>
                <w:numId w:val="7"/>
              </w:numPr>
              <w:spacing w:after="200" w:line="276" w:lineRule="auto"/>
              <w:rPr>
                <w:bCs/>
              </w:rPr>
            </w:pPr>
            <w:r>
              <w:rPr>
                <w:bCs/>
              </w:rPr>
              <w:t>Added new vaccine-specific contraindications for combination vaccines. Combination vaccines are contraindicated when any single component is contraindicated</w:t>
            </w:r>
          </w:p>
          <w:p w14:paraId="4FBAA7B0" w14:textId="77777777" w:rsidR="00911F50" w:rsidRDefault="00911F50" w:rsidP="009273A3">
            <w:pPr>
              <w:pStyle w:val="ListParagraph"/>
              <w:numPr>
                <w:ilvl w:val="0"/>
                <w:numId w:val="7"/>
              </w:numPr>
              <w:rPr>
                <w:bCs/>
              </w:rPr>
            </w:pPr>
            <w:r w:rsidRPr="00480902">
              <w:rPr>
                <w:bCs/>
              </w:rPr>
              <w:t>Added sickle cell disease (code 259) as a new indication to all Immunocompromised series to support patients who have sickle cell disease, but no documentation of asplenia on their record</w:t>
            </w:r>
          </w:p>
          <w:p w14:paraId="46BFDC03" w14:textId="77777777" w:rsidR="00911F50" w:rsidRPr="00480902" w:rsidRDefault="00911F50" w:rsidP="009273A3">
            <w:pPr>
              <w:pStyle w:val="ListParagraph"/>
              <w:numPr>
                <w:ilvl w:val="0"/>
                <w:numId w:val="7"/>
              </w:numPr>
              <w:rPr>
                <w:bCs/>
              </w:rPr>
            </w:pPr>
            <w:r>
              <w:rPr>
                <w:bCs/>
              </w:rPr>
              <w:t>Added HIV Infection with known severity (codes 154 and 155) to existing series with HIV Infection without documented severity (code 186). Any evidence of HIV infection would indicate vaccination.</w:t>
            </w:r>
          </w:p>
        </w:tc>
      </w:tr>
      <w:tr w:rsidR="00911F50" w:rsidRPr="000C4E84" w14:paraId="34E7B7FE" w14:textId="77777777" w:rsidTr="00911F50">
        <w:tc>
          <w:tcPr>
            <w:tcW w:w="2247" w:type="dxa"/>
            <w:shd w:val="clear" w:color="auto" w:fill="auto"/>
          </w:tcPr>
          <w:p w14:paraId="3BB0B2EA" w14:textId="77777777" w:rsidR="00911F50" w:rsidRPr="00480902" w:rsidRDefault="00911F50" w:rsidP="009273A3">
            <w:pPr>
              <w:rPr>
                <w:bCs/>
              </w:rPr>
            </w:pPr>
            <w:r>
              <w:rPr>
                <w:bCs/>
              </w:rPr>
              <w:t>HPV</w:t>
            </w:r>
          </w:p>
        </w:tc>
        <w:tc>
          <w:tcPr>
            <w:tcW w:w="8345" w:type="dxa"/>
            <w:shd w:val="clear" w:color="auto" w:fill="auto"/>
          </w:tcPr>
          <w:p w14:paraId="04CC83C4" w14:textId="77777777" w:rsidR="00911F50" w:rsidRPr="00480902" w:rsidRDefault="00911F50" w:rsidP="009273A3">
            <w:pPr>
              <w:pStyle w:val="ListParagraph"/>
              <w:numPr>
                <w:ilvl w:val="0"/>
                <w:numId w:val="7"/>
              </w:numPr>
              <w:rPr>
                <w:bCs/>
              </w:rPr>
            </w:pPr>
            <w:r>
              <w:rPr>
                <w:bCs/>
              </w:rPr>
              <w:t>Added HIV Infection with known severity (codes 154 and 155) to existing series with HIV Infection without documented severity (code 186). Any evidence of HIV infection would indicate vaccination.</w:t>
            </w:r>
          </w:p>
        </w:tc>
      </w:tr>
      <w:tr w:rsidR="00911F50" w:rsidRPr="000C4E84" w14:paraId="557B873B" w14:textId="77777777" w:rsidTr="00911F50">
        <w:tc>
          <w:tcPr>
            <w:tcW w:w="2247" w:type="dxa"/>
            <w:shd w:val="clear" w:color="auto" w:fill="auto"/>
          </w:tcPr>
          <w:p w14:paraId="388A512F" w14:textId="77777777" w:rsidR="00911F50" w:rsidRDefault="00911F50" w:rsidP="00E9528D">
            <w:pPr>
              <w:rPr>
                <w:bCs/>
              </w:rPr>
            </w:pPr>
            <w:r>
              <w:rPr>
                <w:bCs/>
              </w:rPr>
              <w:t>Influenza</w:t>
            </w:r>
          </w:p>
        </w:tc>
        <w:tc>
          <w:tcPr>
            <w:tcW w:w="8345" w:type="dxa"/>
            <w:shd w:val="clear" w:color="auto" w:fill="auto"/>
          </w:tcPr>
          <w:p w14:paraId="2D593D9C" w14:textId="77777777" w:rsidR="00911F50" w:rsidRDefault="00911F50" w:rsidP="00E9528D">
            <w:pPr>
              <w:pStyle w:val="ListParagraph"/>
              <w:numPr>
                <w:ilvl w:val="0"/>
                <w:numId w:val="7"/>
              </w:numPr>
              <w:rPr>
                <w:bCs/>
              </w:rPr>
            </w:pPr>
            <w:r>
              <w:rPr>
                <w:bCs/>
              </w:rPr>
              <w:t>Removed vaccine-specific contraindications where the vaccines are no longer active U.S. vaccine products</w:t>
            </w:r>
          </w:p>
          <w:p w14:paraId="539D52BA" w14:textId="77777777" w:rsidR="00911F50" w:rsidRPr="009119D4" w:rsidRDefault="00911F50" w:rsidP="009119D4">
            <w:pPr>
              <w:pStyle w:val="ListParagraph"/>
              <w:numPr>
                <w:ilvl w:val="0"/>
                <w:numId w:val="7"/>
              </w:numPr>
              <w:rPr>
                <w:bCs/>
              </w:rPr>
            </w:pPr>
            <w:r>
              <w:rPr>
                <w:bCs/>
              </w:rPr>
              <w:t>Added HIV infection without documented severity (code 186) as a vaccine contraindication to LAIV. Codes 154 and 155 (HIV with known severity) were both already included.</w:t>
            </w:r>
          </w:p>
        </w:tc>
      </w:tr>
      <w:tr w:rsidR="00911F50" w:rsidRPr="000C4E84" w14:paraId="1BF30D71" w14:textId="77777777" w:rsidTr="00911F50">
        <w:tc>
          <w:tcPr>
            <w:tcW w:w="2247" w:type="dxa"/>
            <w:shd w:val="clear" w:color="auto" w:fill="auto"/>
          </w:tcPr>
          <w:p w14:paraId="7EFFBE38" w14:textId="77777777" w:rsidR="00911F50" w:rsidRDefault="00911F50" w:rsidP="009273A3">
            <w:pPr>
              <w:rPr>
                <w:bCs/>
              </w:rPr>
            </w:pPr>
            <w:r>
              <w:rPr>
                <w:bCs/>
              </w:rPr>
              <w:t>Measles</w:t>
            </w:r>
          </w:p>
        </w:tc>
        <w:tc>
          <w:tcPr>
            <w:tcW w:w="8345" w:type="dxa"/>
            <w:shd w:val="clear" w:color="auto" w:fill="auto"/>
          </w:tcPr>
          <w:p w14:paraId="343157BD" w14:textId="77777777" w:rsidR="00911F50" w:rsidRPr="000B2E97" w:rsidRDefault="00911F50" w:rsidP="004F6925">
            <w:pPr>
              <w:pStyle w:val="ListParagraph"/>
              <w:numPr>
                <w:ilvl w:val="0"/>
                <w:numId w:val="7"/>
              </w:numPr>
              <w:spacing w:after="200" w:line="276" w:lineRule="auto"/>
              <w:rPr>
                <w:bCs/>
              </w:rPr>
            </w:pPr>
            <w:r>
              <w:rPr>
                <w:bCs/>
              </w:rPr>
              <w:t>Added new antigen contraindications</w:t>
            </w:r>
          </w:p>
          <w:p w14:paraId="63FFCEFD" w14:textId="77777777" w:rsidR="00911F50" w:rsidRDefault="00911F50" w:rsidP="004F6925">
            <w:pPr>
              <w:pStyle w:val="ListParagraph"/>
              <w:numPr>
                <w:ilvl w:val="0"/>
                <w:numId w:val="7"/>
              </w:numPr>
              <w:rPr>
                <w:bCs/>
              </w:rPr>
            </w:pPr>
            <w:r>
              <w:rPr>
                <w:bCs/>
              </w:rPr>
              <w:t>Added new vaccine-specific contraindications for combination vaccines. Combination vaccines are contraindicated when any single component is contraindicated</w:t>
            </w:r>
          </w:p>
          <w:p w14:paraId="67B4BE3D" w14:textId="77777777" w:rsidR="00911F50" w:rsidRDefault="00911F50" w:rsidP="004F6925">
            <w:pPr>
              <w:pStyle w:val="ListParagraph"/>
              <w:numPr>
                <w:ilvl w:val="0"/>
                <w:numId w:val="7"/>
              </w:numPr>
              <w:rPr>
                <w:bCs/>
              </w:rPr>
            </w:pPr>
            <w:r>
              <w:rPr>
                <w:bCs/>
              </w:rPr>
              <w:t>Added new indication to existing risk 1-dose series</w:t>
            </w:r>
          </w:p>
        </w:tc>
      </w:tr>
      <w:tr w:rsidR="00911F50" w:rsidRPr="000C4E84" w14:paraId="0EA156F6" w14:textId="77777777" w:rsidTr="00911F50">
        <w:tc>
          <w:tcPr>
            <w:tcW w:w="2247" w:type="dxa"/>
            <w:shd w:val="clear" w:color="auto" w:fill="auto"/>
          </w:tcPr>
          <w:p w14:paraId="56577560" w14:textId="77777777" w:rsidR="00911F50" w:rsidRDefault="00911F50" w:rsidP="009273A3">
            <w:pPr>
              <w:rPr>
                <w:bCs/>
              </w:rPr>
            </w:pPr>
            <w:r>
              <w:rPr>
                <w:bCs/>
              </w:rPr>
              <w:t>Meningococcal ACWY</w:t>
            </w:r>
          </w:p>
        </w:tc>
        <w:tc>
          <w:tcPr>
            <w:tcW w:w="8345" w:type="dxa"/>
            <w:shd w:val="clear" w:color="auto" w:fill="auto"/>
          </w:tcPr>
          <w:p w14:paraId="743ECF18" w14:textId="77777777" w:rsidR="00911F50" w:rsidRDefault="00911F50" w:rsidP="009273A3">
            <w:pPr>
              <w:pStyle w:val="ListParagraph"/>
              <w:numPr>
                <w:ilvl w:val="0"/>
                <w:numId w:val="7"/>
              </w:numPr>
              <w:rPr>
                <w:bCs/>
              </w:rPr>
            </w:pPr>
            <w:r>
              <w:rPr>
                <w:bCs/>
              </w:rPr>
              <w:t>Added support in Aged-based series for catch-up vaccination support for those 19 through 21 years of age.</w:t>
            </w:r>
          </w:p>
          <w:p w14:paraId="289BC927" w14:textId="77777777" w:rsidR="00911F50" w:rsidRDefault="00911F50" w:rsidP="009273A3">
            <w:pPr>
              <w:pStyle w:val="ListParagraph"/>
              <w:numPr>
                <w:ilvl w:val="0"/>
                <w:numId w:val="7"/>
              </w:numPr>
              <w:rPr>
                <w:bCs/>
              </w:rPr>
            </w:pPr>
            <w:r>
              <w:rPr>
                <w:bCs/>
              </w:rPr>
              <w:t>Added sickle cell disease (code 259) as a new indication to all Immunocompromised series to support patients who have sickle cell disease, but no documentation of asplenia on their record</w:t>
            </w:r>
          </w:p>
          <w:p w14:paraId="7B809356" w14:textId="77777777" w:rsidR="00911F50" w:rsidRPr="0082762B" w:rsidRDefault="00911F50" w:rsidP="0082762B">
            <w:pPr>
              <w:pStyle w:val="ListParagraph"/>
              <w:numPr>
                <w:ilvl w:val="0"/>
                <w:numId w:val="7"/>
              </w:numPr>
              <w:rPr>
                <w:bCs/>
              </w:rPr>
            </w:pPr>
            <w:r>
              <w:rPr>
                <w:bCs/>
              </w:rPr>
              <w:t>Added HIV Infection with known severity (codes 154 and 155) to existing series with HIV Infection without documented severity (code 186). Any evidence of HIV infection would indicate vaccination.</w:t>
            </w:r>
          </w:p>
        </w:tc>
      </w:tr>
      <w:tr w:rsidR="00911F50" w:rsidRPr="000C4E84" w14:paraId="58C7E578" w14:textId="77777777" w:rsidTr="00203D2C">
        <w:tc>
          <w:tcPr>
            <w:tcW w:w="2247" w:type="dxa"/>
            <w:shd w:val="clear" w:color="auto" w:fill="auto"/>
          </w:tcPr>
          <w:p w14:paraId="5E91D3A3" w14:textId="77777777" w:rsidR="00911F50" w:rsidRDefault="00911F50" w:rsidP="009273A3">
            <w:pPr>
              <w:rPr>
                <w:bCs/>
              </w:rPr>
            </w:pPr>
            <w:r>
              <w:rPr>
                <w:bCs/>
              </w:rPr>
              <w:t>Meningococcal B</w:t>
            </w:r>
          </w:p>
        </w:tc>
        <w:tc>
          <w:tcPr>
            <w:tcW w:w="8345" w:type="dxa"/>
            <w:shd w:val="clear" w:color="auto" w:fill="auto"/>
          </w:tcPr>
          <w:p w14:paraId="1B70FDDE" w14:textId="77777777" w:rsidR="00911F50" w:rsidRPr="0082762B" w:rsidRDefault="00911F50" w:rsidP="0082762B">
            <w:pPr>
              <w:pStyle w:val="ListParagraph"/>
              <w:numPr>
                <w:ilvl w:val="0"/>
                <w:numId w:val="7"/>
              </w:numPr>
              <w:rPr>
                <w:bCs/>
              </w:rPr>
            </w:pPr>
            <w:r>
              <w:rPr>
                <w:bCs/>
              </w:rPr>
              <w:t>Added sickle cell disease (code 259) as a new indication to all Immunocompromised series to support patients who have sickle cell disease, but no documentation of asplenia on their record</w:t>
            </w:r>
          </w:p>
        </w:tc>
      </w:tr>
      <w:tr w:rsidR="00911F50" w:rsidRPr="000C4E84" w14:paraId="3B87C53A" w14:textId="77777777" w:rsidTr="00911F50">
        <w:tc>
          <w:tcPr>
            <w:tcW w:w="2247" w:type="dxa"/>
            <w:shd w:val="clear" w:color="auto" w:fill="auto"/>
          </w:tcPr>
          <w:p w14:paraId="07BB12CD" w14:textId="77777777" w:rsidR="00911F50" w:rsidRDefault="00911F50" w:rsidP="009273A3">
            <w:pPr>
              <w:rPr>
                <w:bCs/>
              </w:rPr>
            </w:pPr>
            <w:r>
              <w:rPr>
                <w:bCs/>
              </w:rPr>
              <w:t>Mumps</w:t>
            </w:r>
          </w:p>
        </w:tc>
        <w:tc>
          <w:tcPr>
            <w:tcW w:w="8345" w:type="dxa"/>
            <w:shd w:val="clear" w:color="auto" w:fill="auto"/>
          </w:tcPr>
          <w:p w14:paraId="2ECCECA9" w14:textId="77777777" w:rsidR="00911F50" w:rsidRPr="000B2E97" w:rsidRDefault="00911F50" w:rsidP="004F6925">
            <w:pPr>
              <w:pStyle w:val="ListParagraph"/>
              <w:numPr>
                <w:ilvl w:val="0"/>
                <w:numId w:val="7"/>
              </w:numPr>
              <w:spacing w:after="200" w:line="276" w:lineRule="auto"/>
              <w:rPr>
                <w:bCs/>
              </w:rPr>
            </w:pPr>
            <w:r>
              <w:rPr>
                <w:bCs/>
              </w:rPr>
              <w:t>Added new antigen contraindications</w:t>
            </w:r>
          </w:p>
          <w:p w14:paraId="069FCCFD" w14:textId="77777777" w:rsidR="00911F50" w:rsidRDefault="00911F50" w:rsidP="004F6925">
            <w:pPr>
              <w:pStyle w:val="ListParagraph"/>
              <w:numPr>
                <w:ilvl w:val="0"/>
                <w:numId w:val="7"/>
              </w:numPr>
              <w:rPr>
                <w:bCs/>
              </w:rPr>
            </w:pPr>
            <w:r>
              <w:rPr>
                <w:bCs/>
              </w:rPr>
              <w:lastRenderedPageBreak/>
              <w:t>Added new vaccine-specific contraindications for combination vaccines. Combination vaccines are contraindicated when any single component is contraindicated</w:t>
            </w:r>
          </w:p>
        </w:tc>
      </w:tr>
      <w:tr w:rsidR="00911F50" w:rsidRPr="000C4E84" w14:paraId="798E94E0" w14:textId="77777777" w:rsidTr="00FE53A8">
        <w:tc>
          <w:tcPr>
            <w:tcW w:w="2247" w:type="dxa"/>
            <w:shd w:val="clear" w:color="auto" w:fill="auto"/>
          </w:tcPr>
          <w:p w14:paraId="62A60834" w14:textId="77777777" w:rsidR="00911F50" w:rsidRDefault="00911F50" w:rsidP="009273A3">
            <w:pPr>
              <w:rPr>
                <w:bCs/>
              </w:rPr>
            </w:pPr>
            <w:r>
              <w:rPr>
                <w:bCs/>
              </w:rPr>
              <w:lastRenderedPageBreak/>
              <w:t>Pertussis</w:t>
            </w:r>
          </w:p>
        </w:tc>
        <w:tc>
          <w:tcPr>
            <w:tcW w:w="8345" w:type="dxa"/>
            <w:shd w:val="clear" w:color="auto" w:fill="auto"/>
          </w:tcPr>
          <w:p w14:paraId="16958D55" w14:textId="77777777" w:rsidR="00911F50" w:rsidRPr="000B2E97" w:rsidRDefault="00911F50" w:rsidP="000B2E97">
            <w:pPr>
              <w:pStyle w:val="ListParagraph"/>
              <w:numPr>
                <w:ilvl w:val="0"/>
                <w:numId w:val="7"/>
              </w:numPr>
              <w:spacing w:after="200" w:line="276" w:lineRule="auto"/>
              <w:rPr>
                <w:bCs/>
              </w:rPr>
            </w:pPr>
            <w:r>
              <w:rPr>
                <w:bCs/>
              </w:rPr>
              <w:t>Added new antigen contraindications</w:t>
            </w:r>
          </w:p>
          <w:p w14:paraId="025BB293" w14:textId="77777777" w:rsidR="00911F50" w:rsidRDefault="00911F50" w:rsidP="009A7739">
            <w:pPr>
              <w:pStyle w:val="ListParagraph"/>
              <w:numPr>
                <w:ilvl w:val="0"/>
                <w:numId w:val="7"/>
              </w:numPr>
              <w:spacing w:after="200" w:line="276" w:lineRule="auto"/>
              <w:rPr>
                <w:bCs/>
              </w:rPr>
            </w:pPr>
            <w:r>
              <w:rPr>
                <w:bCs/>
              </w:rPr>
              <w:t>Removed vaccine-specific contraindications where the vaccines are no longer active U.S. vaccine products</w:t>
            </w:r>
          </w:p>
          <w:p w14:paraId="12DE69D4" w14:textId="77777777" w:rsidR="00911F50" w:rsidRPr="009A7739" w:rsidRDefault="00911F50" w:rsidP="009A7739">
            <w:pPr>
              <w:pStyle w:val="ListParagraph"/>
              <w:numPr>
                <w:ilvl w:val="0"/>
                <w:numId w:val="7"/>
              </w:numPr>
              <w:spacing w:after="200" w:line="276" w:lineRule="auto"/>
              <w:rPr>
                <w:bCs/>
              </w:rPr>
            </w:pPr>
            <w:r>
              <w:rPr>
                <w:bCs/>
              </w:rPr>
              <w:t>Added new vaccine-specific contraindications for combination vaccines. Combination vaccines are contraindicated when any single component is contraindicated</w:t>
            </w:r>
          </w:p>
        </w:tc>
      </w:tr>
      <w:tr w:rsidR="00911F50" w:rsidRPr="000C4E84" w14:paraId="79F3159E" w14:textId="77777777" w:rsidTr="00911F50">
        <w:tc>
          <w:tcPr>
            <w:tcW w:w="2247" w:type="dxa"/>
            <w:shd w:val="clear" w:color="auto" w:fill="auto"/>
          </w:tcPr>
          <w:p w14:paraId="6DF24251" w14:textId="77777777" w:rsidR="00911F50" w:rsidRDefault="00911F50" w:rsidP="009273A3">
            <w:pPr>
              <w:rPr>
                <w:bCs/>
              </w:rPr>
            </w:pPr>
            <w:r>
              <w:rPr>
                <w:bCs/>
              </w:rPr>
              <w:t>Pneumococcal</w:t>
            </w:r>
          </w:p>
        </w:tc>
        <w:tc>
          <w:tcPr>
            <w:tcW w:w="8345" w:type="dxa"/>
            <w:shd w:val="clear" w:color="auto" w:fill="auto"/>
          </w:tcPr>
          <w:p w14:paraId="01E721D4" w14:textId="77777777" w:rsidR="00911F50" w:rsidRDefault="00911F50" w:rsidP="009273A3">
            <w:pPr>
              <w:pStyle w:val="ListParagraph"/>
              <w:numPr>
                <w:ilvl w:val="0"/>
                <w:numId w:val="7"/>
              </w:numPr>
              <w:rPr>
                <w:bCs/>
              </w:rPr>
            </w:pPr>
            <w:r>
              <w:rPr>
                <w:bCs/>
              </w:rPr>
              <w:t>Harmonized the absolute minimum age and minimum age on dose 2 in the Risk 19+ CMC and CSF CI series to improve forecasting. Doses 2 and 3 were updated in the 19+ IC series with the same harmonization</w:t>
            </w:r>
          </w:p>
          <w:p w14:paraId="1B0973FF" w14:textId="77777777" w:rsidR="00911F50" w:rsidRPr="0069031E" w:rsidRDefault="00911F50" w:rsidP="0069031E">
            <w:pPr>
              <w:pStyle w:val="ListParagraph"/>
              <w:numPr>
                <w:ilvl w:val="0"/>
                <w:numId w:val="7"/>
              </w:numPr>
              <w:rPr>
                <w:bCs/>
              </w:rPr>
            </w:pPr>
            <w:r>
              <w:rPr>
                <w:bCs/>
              </w:rPr>
              <w:t>Technical correction to change the Default Series value to “No” in the recently created “50+ 2-dose PCV13” series</w:t>
            </w:r>
          </w:p>
          <w:p w14:paraId="54B3B708" w14:textId="77777777" w:rsidR="00911F50" w:rsidRDefault="00911F50" w:rsidP="009273A3">
            <w:pPr>
              <w:pStyle w:val="ListParagraph"/>
              <w:numPr>
                <w:ilvl w:val="0"/>
                <w:numId w:val="7"/>
              </w:numPr>
              <w:rPr>
                <w:bCs/>
              </w:rPr>
            </w:pPr>
            <w:r>
              <w:rPr>
                <w:bCs/>
              </w:rPr>
              <w:t>Added sickle cell disease (code 259) as a new indication to all Immunocompromised series to support patients who have sickle cell disease, but no documentation of asplenia on their record</w:t>
            </w:r>
          </w:p>
          <w:p w14:paraId="0D81A3FF" w14:textId="77777777" w:rsidR="00911F50" w:rsidRDefault="00911F50" w:rsidP="009273A3">
            <w:pPr>
              <w:pStyle w:val="ListParagraph"/>
              <w:numPr>
                <w:ilvl w:val="0"/>
                <w:numId w:val="7"/>
              </w:numPr>
              <w:rPr>
                <w:bCs/>
              </w:rPr>
            </w:pPr>
            <w:r>
              <w:rPr>
                <w:bCs/>
              </w:rPr>
              <w:t>Added HIV Infection with known severity (codes 154 and 155) to existing series with HIV Infection without documented severity (code 186). Any evidence of HIV infection would indicate vaccination.</w:t>
            </w:r>
          </w:p>
          <w:p w14:paraId="417D2B4E" w14:textId="77777777" w:rsidR="00911F50" w:rsidRDefault="00911F50" w:rsidP="009273A3">
            <w:pPr>
              <w:pStyle w:val="ListParagraph"/>
              <w:numPr>
                <w:ilvl w:val="0"/>
                <w:numId w:val="7"/>
              </w:numPr>
              <w:rPr>
                <w:bCs/>
              </w:rPr>
            </w:pPr>
            <w:r>
              <w:rPr>
                <w:bCs/>
              </w:rPr>
              <w:t xml:space="preserve">Added PCV20 as a preferable vaccine to dose 2 of Risk 6-18 years series (PCV-PPSV and PCV-PPSV-PPSV). </w:t>
            </w:r>
          </w:p>
        </w:tc>
      </w:tr>
      <w:tr w:rsidR="00911F50" w:rsidRPr="000C4E84" w14:paraId="5F644C80" w14:textId="77777777" w:rsidTr="00203D2C">
        <w:tc>
          <w:tcPr>
            <w:tcW w:w="2247" w:type="dxa"/>
            <w:shd w:val="clear" w:color="auto" w:fill="auto"/>
          </w:tcPr>
          <w:p w14:paraId="7D9136C5" w14:textId="77777777" w:rsidR="00911F50" w:rsidRDefault="00911F50" w:rsidP="009273A3">
            <w:pPr>
              <w:rPr>
                <w:bCs/>
              </w:rPr>
            </w:pPr>
            <w:r>
              <w:rPr>
                <w:bCs/>
              </w:rPr>
              <w:t>Polio</w:t>
            </w:r>
          </w:p>
        </w:tc>
        <w:tc>
          <w:tcPr>
            <w:tcW w:w="8345" w:type="dxa"/>
            <w:shd w:val="clear" w:color="auto" w:fill="auto"/>
          </w:tcPr>
          <w:p w14:paraId="46EF24D1" w14:textId="77777777" w:rsidR="00911F50" w:rsidRDefault="00911F50" w:rsidP="009273A3">
            <w:pPr>
              <w:pStyle w:val="ListParagraph"/>
              <w:numPr>
                <w:ilvl w:val="0"/>
                <w:numId w:val="7"/>
              </w:numPr>
              <w:rPr>
                <w:bCs/>
              </w:rPr>
            </w:pPr>
            <w:r>
              <w:rPr>
                <w:bCs/>
              </w:rPr>
              <w:t>Added new vaccine-specific contraindications for combination vaccines. Combination vaccines are contraindicated when any single component is contraindicated</w:t>
            </w:r>
          </w:p>
        </w:tc>
      </w:tr>
      <w:tr w:rsidR="00911F50" w:rsidRPr="000C4E84" w14:paraId="742CDCE5" w14:textId="77777777" w:rsidTr="00911F50">
        <w:tc>
          <w:tcPr>
            <w:tcW w:w="2247" w:type="dxa"/>
            <w:shd w:val="clear" w:color="auto" w:fill="auto"/>
          </w:tcPr>
          <w:p w14:paraId="25D7BDE4" w14:textId="77777777" w:rsidR="00911F50" w:rsidRDefault="00911F50" w:rsidP="009273A3">
            <w:pPr>
              <w:rPr>
                <w:bCs/>
              </w:rPr>
            </w:pPr>
            <w:r>
              <w:rPr>
                <w:bCs/>
              </w:rPr>
              <w:t>RSV</w:t>
            </w:r>
          </w:p>
        </w:tc>
        <w:tc>
          <w:tcPr>
            <w:tcW w:w="8345" w:type="dxa"/>
            <w:shd w:val="clear" w:color="auto" w:fill="auto"/>
          </w:tcPr>
          <w:p w14:paraId="609CA32D" w14:textId="77777777" w:rsidR="00911F50" w:rsidRDefault="00911F50" w:rsidP="009273A3">
            <w:pPr>
              <w:pStyle w:val="ListParagraph"/>
              <w:numPr>
                <w:ilvl w:val="0"/>
                <w:numId w:val="7"/>
              </w:numPr>
              <w:rPr>
                <w:bCs/>
              </w:rPr>
            </w:pPr>
            <w:r>
              <w:rPr>
                <w:bCs/>
              </w:rPr>
              <w:t>Adjusted absolute minimum age to provide a lower bound for the single lifetime dose and avoid false outcomes when infants may have inadvertently received the vaccine rather than nirsevimab</w:t>
            </w:r>
          </w:p>
        </w:tc>
      </w:tr>
      <w:tr w:rsidR="00911F50" w:rsidRPr="000C4E84" w14:paraId="29890340" w14:textId="77777777" w:rsidTr="00911F50">
        <w:tc>
          <w:tcPr>
            <w:tcW w:w="2247" w:type="dxa"/>
            <w:shd w:val="clear" w:color="auto" w:fill="auto"/>
          </w:tcPr>
          <w:p w14:paraId="78233E71" w14:textId="77777777" w:rsidR="00911F50" w:rsidRDefault="00911F50" w:rsidP="006B5365">
            <w:pPr>
              <w:rPr>
                <w:bCs/>
              </w:rPr>
            </w:pPr>
            <w:r>
              <w:rPr>
                <w:bCs/>
              </w:rPr>
              <w:t>Rubella</w:t>
            </w:r>
          </w:p>
        </w:tc>
        <w:tc>
          <w:tcPr>
            <w:tcW w:w="8345" w:type="dxa"/>
            <w:shd w:val="clear" w:color="auto" w:fill="auto"/>
          </w:tcPr>
          <w:p w14:paraId="7B1F5BA0" w14:textId="77777777" w:rsidR="00911F50" w:rsidRPr="000B2E97" w:rsidRDefault="00911F50" w:rsidP="006B5365">
            <w:pPr>
              <w:pStyle w:val="ListParagraph"/>
              <w:numPr>
                <w:ilvl w:val="0"/>
                <w:numId w:val="7"/>
              </w:numPr>
              <w:spacing w:after="200" w:line="276" w:lineRule="auto"/>
              <w:rPr>
                <w:bCs/>
              </w:rPr>
            </w:pPr>
            <w:r>
              <w:rPr>
                <w:bCs/>
              </w:rPr>
              <w:t>Added new antigen contraindications</w:t>
            </w:r>
          </w:p>
          <w:p w14:paraId="7D0AFC96" w14:textId="77777777" w:rsidR="00911F50" w:rsidRDefault="00911F50" w:rsidP="006B5365">
            <w:pPr>
              <w:pStyle w:val="ListParagraph"/>
              <w:numPr>
                <w:ilvl w:val="0"/>
                <w:numId w:val="7"/>
              </w:numPr>
              <w:rPr>
                <w:bCs/>
              </w:rPr>
            </w:pPr>
            <w:r>
              <w:rPr>
                <w:bCs/>
              </w:rPr>
              <w:t>Added new vaccine-specific contraindications for combination vaccines. Combination vaccines are contraindicated when any single component is contraindicated</w:t>
            </w:r>
          </w:p>
        </w:tc>
      </w:tr>
      <w:tr w:rsidR="00911F50" w:rsidRPr="000C4E84" w14:paraId="355EB178" w14:textId="77777777" w:rsidTr="00FA0164">
        <w:tc>
          <w:tcPr>
            <w:tcW w:w="2247" w:type="dxa"/>
            <w:shd w:val="clear" w:color="auto" w:fill="auto"/>
          </w:tcPr>
          <w:p w14:paraId="084E725D" w14:textId="77777777" w:rsidR="00911F50" w:rsidRDefault="00911F50" w:rsidP="006B5365">
            <w:pPr>
              <w:rPr>
                <w:bCs/>
              </w:rPr>
            </w:pPr>
            <w:r>
              <w:rPr>
                <w:bCs/>
              </w:rPr>
              <w:t>Tetanus</w:t>
            </w:r>
          </w:p>
        </w:tc>
        <w:tc>
          <w:tcPr>
            <w:tcW w:w="8345" w:type="dxa"/>
            <w:shd w:val="clear" w:color="auto" w:fill="auto"/>
          </w:tcPr>
          <w:p w14:paraId="44861188" w14:textId="77777777" w:rsidR="00911F50" w:rsidRPr="000B2E97" w:rsidRDefault="00911F50" w:rsidP="006B5365">
            <w:pPr>
              <w:pStyle w:val="ListParagraph"/>
              <w:numPr>
                <w:ilvl w:val="0"/>
                <w:numId w:val="7"/>
              </w:numPr>
              <w:spacing w:after="200" w:line="276" w:lineRule="auto"/>
              <w:rPr>
                <w:bCs/>
              </w:rPr>
            </w:pPr>
            <w:r>
              <w:rPr>
                <w:bCs/>
              </w:rPr>
              <w:t>Added new antigen contraindications</w:t>
            </w:r>
          </w:p>
          <w:p w14:paraId="665B6DA3" w14:textId="77777777" w:rsidR="00911F50" w:rsidRDefault="00911F50" w:rsidP="006B5365">
            <w:pPr>
              <w:pStyle w:val="ListParagraph"/>
              <w:numPr>
                <w:ilvl w:val="0"/>
                <w:numId w:val="7"/>
              </w:numPr>
              <w:rPr>
                <w:bCs/>
              </w:rPr>
            </w:pPr>
            <w:r>
              <w:rPr>
                <w:bCs/>
              </w:rPr>
              <w:t>Removed vaccine-specific contraindications where the vaccines are no longer active U.S. vaccine products</w:t>
            </w:r>
          </w:p>
          <w:p w14:paraId="5C8A013F" w14:textId="77777777" w:rsidR="00911F50" w:rsidRDefault="00911F50" w:rsidP="006B5365">
            <w:pPr>
              <w:pStyle w:val="ListParagraph"/>
              <w:numPr>
                <w:ilvl w:val="0"/>
                <w:numId w:val="7"/>
              </w:numPr>
              <w:rPr>
                <w:bCs/>
              </w:rPr>
            </w:pPr>
            <w:r>
              <w:rPr>
                <w:bCs/>
              </w:rPr>
              <w:t>Added new vaccine-specific contraindications for combination vaccines. Combination vaccines are contraindicated when any single component is contraindicated</w:t>
            </w:r>
          </w:p>
        </w:tc>
      </w:tr>
      <w:tr w:rsidR="00911F50" w:rsidRPr="000C4E84" w14:paraId="771E8C97" w14:textId="77777777" w:rsidTr="00911F50">
        <w:tc>
          <w:tcPr>
            <w:tcW w:w="2247" w:type="dxa"/>
            <w:shd w:val="clear" w:color="auto" w:fill="auto"/>
          </w:tcPr>
          <w:p w14:paraId="0CCB0B6F" w14:textId="77777777" w:rsidR="00911F50" w:rsidRDefault="00911F50" w:rsidP="006B5365">
            <w:pPr>
              <w:rPr>
                <w:bCs/>
              </w:rPr>
            </w:pPr>
            <w:r>
              <w:rPr>
                <w:bCs/>
              </w:rPr>
              <w:t>Varicella</w:t>
            </w:r>
          </w:p>
        </w:tc>
        <w:tc>
          <w:tcPr>
            <w:tcW w:w="8345" w:type="dxa"/>
            <w:shd w:val="clear" w:color="auto" w:fill="auto"/>
          </w:tcPr>
          <w:p w14:paraId="648255B2" w14:textId="77777777" w:rsidR="00911F50" w:rsidRDefault="00911F50" w:rsidP="006B5365">
            <w:pPr>
              <w:pStyle w:val="ListParagraph"/>
              <w:numPr>
                <w:ilvl w:val="0"/>
                <w:numId w:val="7"/>
              </w:numPr>
              <w:rPr>
                <w:bCs/>
              </w:rPr>
            </w:pPr>
            <w:r>
              <w:rPr>
                <w:bCs/>
              </w:rPr>
              <w:t>Added new vaccine-specific contraindications for combination vaccines. Combination vaccines are contraindicated when any single component is contraindicated</w:t>
            </w:r>
          </w:p>
        </w:tc>
      </w:tr>
      <w:tr w:rsidR="00911F50" w:rsidRPr="000C4E84" w14:paraId="2686FD5D" w14:textId="77777777" w:rsidTr="00203D2C">
        <w:tc>
          <w:tcPr>
            <w:tcW w:w="2247" w:type="dxa"/>
            <w:shd w:val="clear" w:color="auto" w:fill="auto"/>
          </w:tcPr>
          <w:p w14:paraId="6A047184" w14:textId="77777777" w:rsidR="00911F50" w:rsidRDefault="00911F50" w:rsidP="006B5365">
            <w:pPr>
              <w:rPr>
                <w:bCs/>
              </w:rPr>
            </w:pPr>
            <w:r>
              <w:rPr>
                <w:bCs/>
              </w:rPr>
              <w:t>Yellow Fever</w:t>
            </w:r>
          </w:p>
        </w:tc>
        <w:tc>
          <w:tcPr>
            <w:tcW w:w="8345" w:type="dxa"/>
            <w:shd w:val="clear" w:color="auto" w:fill="auto"/>
          </w:tcPr>
          <w:p w14:paraId="4783CE1D" w14:textId="77777777" w:rsidR="00911F50" w:rsidRDefault="00911F50" w:rsidP="006B5365">
            <w:pPr>
              <w:pStyle w:val="ListParagraph"/>
              <w:numPr>
                <w:ilvl w:val="0"/>
                <w:numId w:val="7"/>
              </w:numPr>
              <w:rPr>
                <w:bCs/>
              </w:rPr>
            </w:pPr>
            <w:r>
              <w:rPr>
                <w:bCs/>
              </w:rPr>
              <w:t>Removed vaccine-specific contraindications where the vaccines are no longer active U.S. vaccine products</w:t>
            </w:r>
          </w:p>
        </w:tc>
      </w:tr>
      <w:tr w:rsidR="00911F50" w:rsidRPr="000C4E84" w14:paraId="17A957AC" w14:textId="77777777" w:rsidTr="00911F50">
        <w:tc>
          <w:tcPr>
            <w:tcW w:w="2247" w:type="dxa"/>
            <w:shd w:val="clear" w:color="auto" w:fill="auto"/>
          </w:tcPr>
          <w:p w14:paraId="23B28F8F" w14:textId="77777777" w:rsidR="00911F50" w:rsidRDefault="00911F50" w:rsidP="006B5365">
            <w:pPr>
              <w:rPr>
                <w:bCs/>
              </w:rPr>
            </w:pPr>
            <w:r>
              <w:rPr>
                <w:bCs/>
              </w:rPr>
              <w:t>Zoster</w:t>
            </w:r>
          </w:p>
        </w:tc>
        <w:tc>
          <w:tcPr>
            <w:tcW w:w="8345" w:type="dxa"/>
            <w:shd w:val="clear" w:color="auto" w:fill="auto"/>
          </w:tcPr>
          <w:p w14:paraId="143A3253" w14:textId="77777777" w:rsidR="00911F50" w:rsidRDefault="00911F50" w:rsidP="006B5365">
            <w:pPr>
              <w:pStyle w:val="ListParagraph"/>
              <w:numPr>
                <w:ilvl w:val="0"/>
                <w:numId w:val="7"/>
              </w:numPr>
              <w:rPr>
                <w:bCs/>
              </w:rPr>
            </w:pPr>
            <w:r>
              <w:rPr>
                <w:bCs/>
              </w:rPr>
              <w:t>Added HIV Infection with known severity (codes 154 and 155) to existing series with HIV Infection without documented severity (code 186). Any evidence of HIV infection would indicate vaccination.</w:t>
            </w:r>
          </w:p>
        </w:tc>
      </w:tr>
    </w:tbl>
    <w:p w14:paraId="5C3D60E8" w14:textId="77777777" w:rsidR="00EA7BA4" w:rsidRPr="00B8105F" w:rsidRDefault="00EA7BA4" w:rsidP="009273A3"/>
    <w:sectPr w:rsidR="00EA7BA4" w:rsidRPr="00B8105F" w:rsidSect="00E317E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9EC23" w14:textId="77777777" w:rsidR="008B16FF" w:rsidRDefault="008B16FF" w:rsidP="003C0816">
      <w:pPr>
        <w:spacing w:after="0" w:line="240" w:lineRule="auto"/>
      </w:pPr>
      <w:r>
        <w:separator/>
      </w:r>
    </w:p>
  </w:endnote>
  <w:endnote w:type="continuationSeparator" w:id="0">
    <w:p w14:paraId="22E769FE" w14:textId="77777777" w:rsidR="008B16FF" w:rsidRDefault="008B16FF" w:rsidP="003C0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8DA88" w14:textId="77777777" w:rsidR="008B16FF" w:rsidRDefault="008B16FF" w:rsidP="003C0816">
      <w:pPr>
        <w:spacing w:after="0" w:line="240" w:lineRule="auto"/>
      </w:pPr>
      <w:r>
        <w:separator/>
      </w:r>
    </w:p>
  </w:footnote>
  <w:footnote w:type="continuationSeparator" w:id="0">
    <w:p w14:paraId="3E01C713" w14:textId="77777777" w:rsidR="008B16FF" w:rsidRDefault="008B16FF" w:rsidP="003C08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93645"/>
    <w:multiLevelType w:val="hybridMultilevel"/>
    <w:tmpl w:val="D2D264E6"/>
    <w:lvl w:ilvl="0" w:tplc="C472C64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20596F"/>
    <w:multiLevelType w:val="multilevel"/>
    <w:tmpl w:val="65409C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29DA5A58"/>
    <w:multiLevelType w:val="hybridMultilevel"/>
    <w:tmpl w:val="C35066F6"/>
    <w:lvl w:ilvl="0" w:tplc="E9E6D92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8915AD"/>
    <w:multiLevelType w:val="hybridMultilevel"/>
    <w:tmpl w:val="5F8C15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9292BC3"/>
    <w:multiLevelType w:val="hybridMultilevel"/>
    <w:tmpl w:val="4998D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A935E8"/>
    <w:multiLevelType w:val="hybridMultilevel"/>
    <w:tmpl w:val="BCC46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2B7C3B"/>
    <w:multiLevelType w:val="hybridMultilevel"/>
    <w:tmpl w:val="7494A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0C265D"/>
    <w:multiLevelType w:val="hybridMultilevel"/>
    <w:tmpl w:val="3E1283BA"/>
    <w:lvl w:ilvl="0" w:tplc="D9D44A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38111389">
    <w:abstractNumId w:val="0"/>
  </w:num>
  <w:num w:numId="2" w16cid:durableId="1146628167">
    <w:abstractNumId w:val="2"/>
  </w:num>
  <w:num w:numId="3" w16cid:durableId="1788620140">
    <w:abstractNumId w:val="4"/>
  </w:num>
  <w:num w:numId="4" w16cid:durableId="1936550910">
    <w:abstractNumId w:val="6"/>
  </w:num>
  <w:num w:numId="5" w16cid:durableId="1748501536">
    <w:abstractNumId w:val="3"/>
  </w:num>
  <w:num w:numId="6" w16cid:durableId="1478834875">
    <w:abstractNumId w:val="1"/>
  </w:num>
  <w:num w:numId="7" w16cid:durableId="156385080">
    <w:abstractNumId w:val="5"/>
  </w:num>
  <w:num w:numId="8" w16cid:durableId="14508532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321"/>
    <w:rsid w:val="0000226A"/>
    <w:rsid w:val="00004344"/>
    <w:rsid w:val="000044C1"/>
    <w:rsid w:val="000046E7"/>
    <w:rsid w:val="00006062"/>
    <w:rsid w:val="00006D74"/>
    <w:rsid w:val="00010AB6"/>
    <w:rsid w:val="00011E17"/>
    <w:rsid w:val="0001230A"/>
    <w:rsid w:val="00012D4B"/>
    <w:rsid w:val="00013BA7"/>
    <w:rsid w:val="000140D7"/>
    <w:rsid w:val="00015A9A"/>
    <w:rsid w:val="00017CB7"/>
    <w:rsid w:val="00020412"/>
    <w:rsid w:val="00021314"/>
    <w:rsid w:val="000215F4"/>
    <w:rsid w:val="00023F30"/>
    <w:rsid w:val="000246A3"/>
    <w:rsid w:val="00025B05"/>
    <w:rsid w:val="00025B24"/>
    <w:rsid w:val="000261C4"/>
    <w:rsid w:val="0002722B"/>
    <w:rsid w:val="00027CE9"/>
    <w:rsid w:val="0003241D"/>
    <w:rsid w:val="00032776"/>
    <w:rsid w:val="00032B81"/>
    <w:rsid w:val="000351E1"/>
    <w:rsid w:val="00035C41"/>
    <w:rsid w:val="000364DB"/>
    <w:rsid w:val="00036961"/>
    <w:rsid w:val="000400EB"/>
    <w:rsid w:val="00040948"/>
    <w:rsid w:val="000452DF"/>
    <w:rsid w:val="00045953"/>
    <w:rsid w:val="00045A29"/>
    <w:rsid w:val="000471AF"/>
    <w:rsid w:val="00047B75"/>
    <w:rsid w:val="0005039D"/>
    <w:rsid w:val="0005058A"/>
    <w:rsid w:val="000512C0"/>
    <w:rsid w:val="00051301"/>
    <w:rsid w:val="00051AB1"/>
    <w:rsid w:val="00053B72"/>
    <w:rsid w:val="00054938"/>
    <w:rsid w:val="00054C5F"/>
    <w:rsid w:val="000555A9"/>
    <w:rsid w:val="00056815"/>
    <w:rsid w:val="00056960"/>
    <w:rsid w:val="0005795D"/>
    <w:rsid w:val="00060F68"/>
    <w:rsid w:val="000618B8"/>
    <w:rsid w:val="00063AA3"/>
    <w:rsid w:val="00065408"/>
    <w:rsid w:val="000676A7"/>
    <w:rsid w:val="00070B3D"/>
    <w:rsid w:val="00071A1F"/>
    <w:rsid w:val="000750D3"/>
    <w:rsid w:val="000763B8"/>
    <w:rsid w:val="00076838"/>
    <w:rsid w:val="0008107D"/>
    <w:rsid w:val="00086DE5"/>
    <w:rsid w:val="000879FE"/>
    <w:rsid w:val="00087E38"/>
    <w:rsid w:val="00091D53"/>
    <w:rsid w:val="000920C3"/>
    <w:rsid w:val="00093DCB"/>
    <w:rsid w:val="00095635"/>
    <w:rsid w:val="00096D1E"/>
    <w:rsid w:val="000A2C97"/>
    <w:rsid w:val="000A4A35"/>
    <w:rsid w:val="000A553F"/>
    <w:rsid w:val="000A71F1"/>
    <w:rsid w:val="000B0509"/>
    <w:rsid w:val="000B0D1D"/>
    <w:rsid w:val="000B1D62"/>
    <w:rsid w:val="000B27D4"/>
    <w:rsid w:val="000B2E97"/>
    <w:rsid w:val="000B3F1D"/>
    <w:rsid w:val="000B415E"/>
    <w:rsid w:val="000B4FD3"/>
    <w:rsid w:val="000B64D3"/>
    <w:rsid w:val="000B7450"/>
    <w:rsid w:val="000B793B"/>
    <w:rsid w:val="000B7DDF"/>
    <w:rsid w:val="000C08F5"/>
    <w:rsid w:val="000C1455"/>
    <w:rsid w:val="000C213D"/>
    <w:rsid w:val="000C22FC"/>
    <w:rsid w:val="000C311E"/>
    <w:rsid w:val="000C36D2"/>
    <w:rsid w:val="000C4E84"/>
    <w:rsid w:val="000C5733"/>
    <w:rsid w:val="000C57BF"/>
    <w:rsid w:val="000C796D"/>
    <w:rsid w:val="000D18EC"/>
    <w:rsid w:val="000D1F12"/>
    <w:rsid w:val="000D30E3"/>
    <w:rsid w:val="000D729A"/>
    <w:rsid w:val="000E1197"/>
    <w:rsid w:val="000E2DEE"/>
    <w:rsid w:val="000E3B3B"/>
    <w:rsid w:val="000E443D"/>
    <w:rsid w:val="000E6D88"/>
    <w:rsid w:val="000E726D"/>
    <w:rsid w:val="000E78E0"/>
    <w:rsid w:val="000F0C3B"/>
    <w:rsid w:val="000F18F2"/>
    <w:rsid w:val="000F2873"/>
    <w:rsid w:val="000F2A69"/>
    <w:rsid w:val="000F341E"/>
    <w:rsid w:val="000F36E3"/>
    <w:rsid w:val="000F37C3"/>
    <w:rsid w:val="000F3D88"/>
    <w:rsid w:val="000F47F5"/>
    <w:rsid w:val="000F4F65"/>
    <w:rsid w:val="000F4FF0"/>
    <w:rsid w:val="000F5847"/>
    <w:rsid w:val="000F7BC3"/>
    <w:rsid w:val="00100B83"/>
    <w:rsid w:val="00100FF0"/>
    <w:rsid w:val="001020AD"/>
    <w:rsid w:val="001035F9"/>
    <w:rsid w:val="00103684"/>
    <w:rsid w:val="001039C6"/>
    <w:rsid w:val="001039D9"/>
    <w:rsid w:val="00103C5D"/>
    <w:rsid w:val="00103F54"/>
    <w:rsid w:val="001045BD"/>
    <w:rsid w:val="0010460C"/>
    <w:rsid w:val="0010482C"/>
    <w:rsid w:val="001053CB"/>
    <w:rsid w:val="001056FB"/>
    <w:rsid w:val="0011152B"/>
    <w:rsid w:val="00111B18"/>
    <w:rsid w:val="00112B04"/>
    <w:rsid w:val="00114CCD"/>
    <w:rsid w:val="001170A0"/>
    <w:rsid w:val="0012041D"/>
    <w:rsid w:val="00121884"/>
    <w:rsid w:val="001219AF"/>
    <w:rsid w:val="0012218B"/>
    <w:rsid w:val="00122561"/>
    <w:rsid w:val="00122FC9"/>
    <w:rsid w:val="00123916"/>
    <w:rsid w:val="00125DA3"/>
    <w:rsid w:val="00133C61"/>
    <w:rsid w:val="00133D0E"/>
    <w:rsid w:val="00134765"/>
    <w:rsid w:val="00134D9F"/>
    <w:rsid w:val="001355F0"/>
    <w:rsid w:val="0013581D"/>
    <w:rsid w:val="00136169"/>
    <w:rsid w:val="00140079"/>
    <w:rsid w:val="0014052B"/>
    <w:rsid w:val="0014157F"/>
    <w:rsid w:val="00142D6A"/>
    <w:rsid w:val="001440B4"/>
    <w:rsid w:val="001470EE"/>
    <w:rsid w:val="001505D3"/>
    <w:rsid w:val="0015191D"/>
    <w:rsid w:val="00152837"/>
    <w:rsid w:val="00153561"/>
    <w:rsid w:val="00154E49"/>
    <w:rsid w:val="00154E4A"/>
    <w:rsid w:val="00155129"/>
    <w:rsid w:val="00155401"/>
    <w:rsid w:val="00155B38"/>
    <w:rsid w:val="00155B83"/>
    <w:rsid w:val="00156AB9"/>
    <w:rsid w:val="00157BD3"/>
    <w:rsid w:val="00157DB1"/>
    <w:rsid w:val="00160237"/>
    <w:rsid w:val="00162C90"/>
    <w:rsid w:val="001633B6"/>
    <w:rsid w:val="001646C2"/>
    <w:rsid w:val="00165CEB"/>
    <w:rsid w:val="0016654F"/>
    <w:rsid w:val="001669FB"/>
    <w:rsid w:val="00166F36"/>
    <w:rsid w:val="0017088C"/>
    <w:rsid w:val="001717FF"/>
    <w:rsid w:val="00171E7D"/>
    <w:rsid w:val="00174070"/>
    <w:rsid w:val="001747AC"/>
    <w:rsid w:val="0017483C"/>
    <w:rsid w:val="00174DBC"/>
    <w:rsid w:val="001753C9"/>
    <w:rsid w:val="001757BE"/>
    <w:rsid w:val="001759D3"/>
    <w:rsid w:val="00177775"/>
    <w:rsid w:val="00180CE2"/>
    <w:rsid w:val="001837F9"/>
    <w:rsid w:val="00184A94"/>
    <w:rsid w:val="00186281"/>
    <w:rsid w:val="00187D77"/>
    <w:rsid w:val="00187E5C"/>
    <w:rsid w:val="00187F12"/>
    <w:rsid w:val="001902E9"/>
    <w:rsid w:val="00190FE4"/>
    <w:rsid w:val="001973F5"/>
    <w:rsid w:val="001979E6"/>
    <w:rsid w:val="001979FA"/>
    <w:rsid w:val="00197EF2"/>
    <w:rsid w:val="001A0986"/>
    <w:rsid w:val="001A1557"/>
    <w:rsid w:val="001A33BE"/>
    <w:rsid w:val="001A6B0C"/>
    <w:rsid w:val="001A765C"/>
    <w:rsid w:val="001B1171"/>
    <w:rsid w:val="001B13D2"/>
    <w:rsid w:val="001B35BD"/>
    <w:rsid w:val="001B4D4A"/>
    <w:rsid w:val="001C30E6"/>
    <w:rsid w:val="001C72E0"/>
    <w:rsid w:val="001D0B72"/>
    <w:rsid w:val="001D3F0D"/>
    <w:rsid w:val="001D4828"/>
    <w:rsid w:val="001D5514"/>
    <w:rsid w:val="001D5DD3"/>
    <w:rsid w:val="001D5F91"/>
    <w:rsid w:val="001D66BC"/>
    <w:rsid w:val="001D7F9E"/>
    <w:rsid w:val="001E3AB1"/>
    <w:rsid w:val="001E3ED0"/>
    <w:rsid w:val="001E6FB0"/>
    <w:rsid w:val="001F0CA1"/>
    <w:rsid w:val="001F0CEF"/>
    <w:rsid w:val="001F0E5B"/>
    <w:rsid w:val="001F2A31"/>
    <w:rsid w:val="001F330D"/>
    <w:rsid w:val="001F3B56"/>
    <w:rsid w:val="001F3CDA"/>
    <w:rsid w:val="001F4E4A"/>
    <w:rsid w:val="001F5087"/>
    <w:rsid w:val="001F508C"/>
    <w:rsid w:val="001F6944"/>
    <w:rsid w:val="001F699D"/>
    <w:rsid w:val="0020026A"/>
    <w:rsid w:val="002016C2"/>
    <w:rsid w:val="00203620"/>
    <w:rsid w:val="00203C96"/>
    <w:rsid w:val="00203D2C"/>
    <w:rsid w:val="00204ABA"/>
    <w:rsid w:val="00205579"/>
    <w:rsid w:val="00205A4F"/>
    <w:rsid w:val="00206140"/>
    <w:rsid w:val="002067F3"/>
    <w:rsid w:val="0020694B"/>
    <w:rsid w:val="00210EF2"/>
    <w:rsid w:val="002122EC"/>
    <w:rsid w:val="00215CC3"/>
    <w:rsid w:val="00216CD3"/>
    <w:rsid w:val="002173C6"/>
    <w:rsid w:val="002218C7"/>
    <w:rsid w:val="00221EFB"/>
    <w:rsid w:val="00222201"/>
    <w:rsid w:val="00222E27"/>
    <w:rsid w:val="0022485E"/>
    <w:rsid w:val="00225C49"/>
    <w:rsid w:val="00225CB2"/>
    <w:rsid w:val="00231053"/>
    <w:rsid w:val="00232C6A"/>
    <w:rsid w:val="002334C3"/>
    <w:rsid w:val="00233D17"/>
    <w:rsid w:val="002340D1"/>
    <w:rsid w:val="0023455E"/>
    <w:rsid w:val="00235281"/>
    <w:rsid w:val="00241E9D"/>
    <w:rsid w:val="0024234F"/>
    <w:rsid w:val="002427BE"/>
    <w:rsid w:val="002440EA"/>
    <w:rsid w:val="002456A6"/>
    <w:rsid w:val="00246642"/>
    <w:rsid w:val="0025173E"/>
    <w:rsid w:val="00251CA5"/>
    <w:rsid w:val="00256733"/>
    <w:rsid w:val="00257024"/>
    <w:rsid w:val="00263240"/>
    <w:rsid w:val="0026392F"/>
    <w:rsid w:val="002650AF"/>
    <w:rsid w:val="002657FF"/>
    <w:rsid w:val="00266E5B"/>
    <w:rsid w:val="00267F40"/>
    <w:rsid w:val="0027353F"/>
    <w:rsid w:val="002737BF"/>
    <w:rsid w:val="00273C1F"/>
    <w:rsid w:val="00276FFA"/>
    <w:rsid w:val="00277C7B"/>
    <w:rsid w:val="0028088E"/>
    <w:rsid w:val="0028088F"/>
    <w:rsid w:val="00281780"/>
    <w:rsid w:val="00281F27"/>
    <w:rsid w:val="0028235A"/>
    <w:rsid w:val="00283440"/>
    <w:rsid w:val="00286FA2"/>
    <w:rsid w:val="00290194"/>
    <w:rsid w:val="00293136"/>
    <w:rsid w:val="0029377D"/>
    <w:rsid w:val="0029395A"/>
    <w:rsid w:val="00293BD2"/>
    <w:rsid w:val="00293BD6"/>
    <w:rsid w:val="002945AB"/>
    <w:rsid w:val="002947F9"/>
    <w:rsid w:val="00295707"/>
    <w:rsid w:val="002968A2"/>
    <w:rsid w:val="00297B17"/>
    <w:rsid w:val="00297B27"/>
    <w:rsid w:val="00297C1C"/>
    <w:rsid w:val="002A0E52"/>
    <w:rsid w:val="002A28F7"/>
    <w:rsid w:val="002A56E0"/>
    <w:rsid w:val="002A5928"/>
    <w:rsid w:val="002A60C9"/>
    <w:rsid w:val="002A7CD6"/>
    <w:rsid w:val="002B0BB9"/>
    <w:rsid w:val="002B1706"/>
    <w:rsid w:val="002B2C66"/>
    <w:rsid w:val="002B3341"/>
    <w:rsid w:val="002B3708"/>
    <w:rsid w:val="002B4EF9"/>
    <w:rsid w:val="002B7DE9"/>
    <w:rsid w:val="002C0749"/>
    <w:rsid w:val="002C1694"/>
    <w:rsid w:val="002C17BA"/>
    <w:rsid w:val="002C21B4"/>
    <w:rsid w:val="002C2D09"/>
    <w:rsid w:val="002C4936"/>
    <w:rsid w:val="002C4B01"/>
    <w:rsid w:val="002C5F1B"/>
    <w:rsid w:val="002D0F5E"/>
    <w:rsid w:val="002D1300"/>
    <w:rsid w:val="002D18CE"/>
    <w:rsid w:val="002D2052"/>
    <w:rsid w:val="002D28AA"/>
    <w:rsid w:val="002D3651"/>
    <w:rsid w:val="002D74FC"/>
    <w:rsid w:val="002E211C"/>
    <w:rsid w:val="002E3186"/>
    <w:rsid w:val="002E3210"/>
    <w:rsid w:val="002E3BBC"/>
    <w:rsid w:val="002E6596"/>
    <w:rsid w:val="002E7968"/>
    <w:rsid w:val="002F09E6"/>
    <w:rsid w:val="002F0AE0"/>
    <w:rsid w:val="002F0C81"/>
    <w:rsid w:val="002F1A10"/>
    <w:rsid w:val="002F29CB"/>
    <w:rsid w:val="002F40FC"/>
    <w:rsid w:val="002F459C"/>
    <w:rsid w:val="002F55B5"/>
    <w:rsid w:val="002F68F2"/>
    <w:rsid w:val="00300C5F"/>
    <w:rsid w:val="003022B4"/>
    <w:rsid w:val="00302786"/>
    <w:rsid w:val="003029BD"/>
    <w:rsid w:val="0030369E"/>
    <w:rsid w:val="00304222"/>
    <w:rsid w:val="0030527D"/>
    <w:rsid w:val="00305E2C"/>
    <w:rsid w:val="003066BF"/>
    <w:rsid w:val="003070A9"/>
    <w:rsid w:val="00307ACE"/>
    <w:rsid w:val="0031030D"/>
    <w:rsid w:val="00311366"/>
    <w:rsid w:val="0031206D"/>
    <w:rsid w:val="00312A21"/>
    <w:rsid w:val="00314272"/>
    <w:rsid w:val="0031578B"/>
    <w:rsid w:val="00315FE3"/>
    <w:rsid w:val="00317800"/>
    <w:rsid w:val="003236D4"/>
    <w:rsid w:val="00323915"/>
    <w:rsid w:val="00324483"/>
    <w:rsid w:val="00324EBE"/>
    <w:rsid w:val="003261ED"/>
    <w:rsid w:val="0032722F"/>
    <w:rsid w:val="00330338"/>
    <w:rsid w:val="00330362"/>
    <w:rsid w:val="003307BD"/>
    <w:rsid w:val="00330A13"/>
    <w:rsid w:val="00330CBF"/>
    <w:rsid w:val="00331A27"/>
    <w:rsid w:val="00331E99"/>
    <w:rsid w:val="0033314B"/>
    <w:rsid w:val="00333F09"/>
    <w:rsid w:val="003345FF"/>
    <w:rsid w:val="00335F4A"/>
    <w:rsid w:val="0033740C"/>
    <w:rsid w:val="0034197F"/>
    <w:rsid w:val="00341AC2"/>
    <w:rsid w:val="00342B1D"/>
    <w:rsid w:val="00344723"/>
    <w:rsid w:val="00346143"/>
    <w:rsid w:val="00346275"/>
    <w:rsid w:val="00346C2B"/>
    <w:rsid w:val="00347731"/>
    <w:rsid w:val="00347FE5"/>
    <w:rsid w:val="00350B18"/>
    <w:rsid w:val="00352EC3"/>
    <w:rsid w:val="00354754"/>
    <w:rsid w:val="00356125"/>
    <w:rsid w:val="00356993"/>
    <w:rsid w:val="003570F0"/>
    <w:rsid w:val="003576CA"/>
    <w:rsid w:val="00360CA1"/>
    <w:rsid w:val="003621E7"/>
    <w:rsid w:val="00363449"/>
    <w:rsid w:val="00365433"/>
    <w:rsid w:val="00367561"/>
    <w:rsid w:val="0037121B"/>
    <w:rsid w:val="0037257A"/>
    <w:rsid w:val="00372657"/>
    <w:rsid w:val="003727F5"/>
    <w:rsid w:val="00372864"/>
    <w:rsid w:val="00373E60"/>
    <w:rsid w:val="003743FE"/>
    <w:rsid w:val="00374985"/>
    <w:rsid w:val="00375E59"/>
    <w:rsid w:val="00375EA1"/>
    <w:rsid w:val="00376025"/>
    <w:rsid w:val="003777D7"/>
    <w:rsid w:val="00382117"/>
    <w:rsid w:val="0038277D"/>
    <w:rsid w:val="003841E9"/>
    <w:rsid w:val="003848F7"/>
    <w:rsid w:val="00384A0C"/>
    <w:rsid w:val="003851F9"/>
    <w:rsid w:val="00387166"/>
    <w:rsid w:val="00387E46"/>
    <w:rsid w:val="0039056A"/>
    <w:rsid w:val="003920AE"/>
    <w:rsid w:val="003920E7"/>
    <w:rsid w:val="00393F3C"/>
    <w:rsid w:val="003949E2"/>
    <w:rsid w:val="00395FC6"/>
    <w:rsid w:val="00396BFA"/>
    <w:rsid w:val="00397B85"/>
    <w:rsid w:val="003A0CC3"/>
    <w:rsid w:val="003A0EFA"/>
    <w:rsid w:val="003A1EB8"/>
    <w:rsid w:val="003A359A"/>
    <w:rsid w:val="003A37A9"/>
    <w:rsid w:val="003A4998"/>
    <w:rsid w:val="003A49BA"/>
    <w:rsid w:val="003B4BE2"/>
    <w:rsid w:val="003B60D1"/>
    <w:rsid w:val="003B63EA"/>
    <w:rsid w:val="003B67D2"/>
    <w:rsid w:val="003B74F8"/>
    <w:rsid w:val="003B75CB"/>
    <w:rsid w:val="003C060B"/>
    <w:rsid w:val="003C0816"/>
    <w:rsid w:val="003C23DD"/>
    <w:rsid w:val="003C2B7E"/>
    <w:rsid w:val="003C557C"/>
    <w:rsid w:val="003C5E83"/>
    <w:rsid w:val="003D228B"/>
    <w:rsid w:val="003D31C6"/>
    <w:rsid w:val="003D4F51"/>
    <w:rsid w:val="003E02C0"/>
    <w:rsid w:val="003E06E9"/>
    <w:rsid w:val="003E0B9B"/>
    <w:rsid w:val="003E1997"/>
    <w:rsid w:val="003E506C"/>
    <w:rsid w:val="003F478D"/>
    <w:rsid w:val="003F52DE"/>
    <w:rsid w:val="003F590E"/>
    <w:rsid w:val="003F5D93"/>
    <w:rsid w:val="0040330A"/>
    <w:rsid w:val="004070EE"/>
    <w:rsid w:val="00411EE1"/>
    <w:rsid w:val="004126F2"/>
    <w:rsid w:val="00413E13"/>
    <w:rsid w:val="00414738"/>
    <w:rsid w:val="00414BFC"/>
    <w:rsid w:val="0041504C"/>
    <w:rsid w:val="0041524F"/>
    <w:rsid w:val="00415B51"/>
    <w:rsid w:val="00415F5D"/>
    <w:rsid w:val="00417871"/>
    <w:rsid w:val="00417887"/>
    <w:rsid w:val="00420AB0"/>
    <w:rsid w:val="004218B4"/>
    <w:rsid w:val="00422297"/>
    <w:rsid w:val="00422850"/>
    <w:rsid w:val="004235C8"/>
    <w:rsid w:val="00423731"/>
    <w:rsid w:val="00423924"/>
    <w:rsid w:val="0042667F"/>
    <w:rsid w:val="00426A50"/>
    <w:rsid w:val="00427F80"/>
    <w:rsid w:val="004304B6"/>
    <w:rsid w:val="00431F45"/>
    <w:rsid w:val="004321BB"/>
    <w:rsid w:val="00432FE8"/>
    <w:rsid w:val="00434482"/>
    <w:rsid w:val="00434B99"/>
    <w:rsid w:val="004354D7"/>
    <w:rsid w:val="00435B87"/>
    <w:rsid w:val="00435BF9"/>
    <w:rsid w:val="0043623E"/>
    <w:rsid w:val="00437363"/>
    <w:rsid w:val="00440607"/>
    <w:rsid w:val="0044129E"/>
    <w:rsid w:val="00441C87"/>
    <w:rsid w:val="00442F5A"/>
    <w:rsid w:val="00445705"/>
    <w:rsid w:val="00445F9E"/>
    <w:rsid w:val="00446E52"/>
    <w:rsid w:val="004503E1"/>
    <w:rsid w:val="00450B2C"/>
    <w:rsid w:val="00450D83"/>
    <w:rsid w:val="0045102E"/>
    <w:rsid w:val="0045204D"/>
    <w:rsid w:val="00453562"/>
    <w:rsid w:val="0045357E"/>
    <w:rsid w:val="00455087"/>
    <w:rsid w:val="0045511E"/>
    <w:rsid w:val="00456B25"/>
    <w:rsid w:val="00460104"/>
    <w:rsid w:val="00462400"/>
    <w:rsid w:val="00462756"/>
    <w:rsid w:val="004632DB"/>
    <w:rsid w:val="004661EC"/>
    <w:rsid w:val="00466894"/>
    <w:rsid w:val="00467269"/>
    <w:rsid w:val="004677E9"/>
    <w:rsid w:val="00467CE9"/>
    <w:rsid w:val="0047006E"/>
    <w:rsid w:val="004736DA"/>
    <w:rsid w:val="0047516D"/>
    <w:rsid w:val="00476241"/>
    <w:rsid w:val="00476DD8"/>
    <w:rsid w:val="004801DA"/>
    <w:rsid w:val="00480902"/>
    <w:rsid w:val="00483214"/>
    <w:rsid w:val="00483FD8"/>
    <w:rsid w:val="00486569"/>
    <w:rsid w:val="00486CF2"/>
    <w:rsid w:val="004870D1"/>
    <w:rsid w:val="00490D66"/>
    <w:rsid w:val="00495A84"/>
    <w:rsid w:val="004963BE"/>
    <w:rsid w:val="004969B8"/>
    <w:rsid w:val="00497BB8"/>
    <w:rsid w:val="004A1A00"/>
    <w:rsid w:val="004A36AB"/>
    <w:rsid w:val="004A463C"/>
    <w:rsid w:val="004A4858"/>
    <w:rsid w:val="004A4EED"/>
    <w:rsid w:val="004A6A81"/>
    <w:rsid w:val="004A6F0F"/>
    <w:rsid w:val="004A771A"/>
    <w:rsid w:val="004B06DC"/>
    <w:rsid w:val="004B0B03"/>
    <w:rsid w:val="004B15CB"/>
    <w:rsid w:val="004B2112"/>
    <w:rsid w:val="004B4A36"/>
    <w:rsid w:val="004B5542"/>
    <w:rsid w:val="004C0346"/>
    <w:rsid w:val="004C1AA0"/>
    <w:rsid w:val="004C1E58"/>
    <w:rsid w:val="004C4302"/>
    <w:rsid w:val="004C6E94"/>
    <w:rsid w:val="004C7967"/>
    <w:rsid w:val="004D08C7"/>
    <w:rsid w:val="004D2C7E"/>
    <w:rsid w:val="004D6AB0"/>
    <w:rsid w:val="004D6B77"/>
    <w:rsid w:val="004E14A4"/>
    <w:rsid w:val="004E26F4"/>
    <w:rsid w:val="004E3946"/>
    <w:rsid w:val="004E5A5C"/>
    <w:rsid w:val="004E6DC1"/>
    <w:rsid w:val="004F0889"/>
    <w:rsid w:val="004F10B0"/>
    <w:rsid w:val="004F140F"/>
    <w:rsid w:val="004F3767"/>
    <w:rsid w:val="004F4E4E"/>
    <w:rsid w:val="004F6925"/>
    <w:rsid w:val="004F7449"/>
    <w:rsid w:val="004F7DDC"/>
    <w:rsid w:val="0050221B"/>
    <w:rsid w:val="00502346"/>
    <w:rsid w:val="0050359C"/>
    <w:rsid w:val="00503F82"/>
    <w:rsid w:val="005049C2"/>
    <w:rsid w:val="005065C1"/>
    <w:rsid w:val="00506673"/>
    <w:rsid w:val="00506FE6"/>
    <w:rsid w:val="0051074F"/>
    <w:rsid w:val="005117E6"/>
    <w:rsid w:val="005144AB"/>
    <w:rsid w:val="005147F2"/>
    <w:rsid w:val="00516070"/>
    <w:rsid w:val="0051665D"/>
    <w:rsid w:val="0052051F"/>
    <w:rsid w:val="005226C3"/>
    <w:rsid w:val="00522F3A"/>
    <w:rsid w:val="005242E3"/>
    <w:rsid w:val="00524D4D"/>
    <w:rsid w:val="005323FD"/>
    <w:rsid w:val="0053283E"/>
    <w:rsid w:val="00532A2B"/>
    <w:rsid w:val="00533307"/>
    <w:rsid w:val="00533CB5"/>
    <w:rsid w:val="00534961"/>
    <w:rsid w:val="005354C3"/>
    <w:rsid w:val="005363FF"/>
    <w:rsid w:val="0054096E"/>
    <w:rsid w:val="00542506"/>
    <w:rsid w:val="0054462E"/>
    <w:rsid w:val="00544AA3"/>
    <w:rsid w:val="005466F3"/>
    <w:rsid w:val="00546DD2"/>
    <w:rsid w:val="005473C7"/>
    <w:rsid w:val="00551EAD"/>
    <w:rsid w:val="00555288"/>
    <w:rsid w:val="00555BC6"/>
    <w:rsid w:val="00556D07"/>
    <w:rsid w:val="005608A8"/>
    <w:rsid w:val="00560B3E"/>
    <w:rsid w:val="005618BA"/>
    <w:rsid w:val="00563598"/>
    <w:rsid w:val="00564078"/>
    <w:rsid w:val="005645CE"/>
    <w:rsid w:val="0057204A"/>
    <w:rsid w:val="005722B7"/>
    <w:rsid w:val="00572F32"/>
    <w:rsid w:val="00573FA2"/>
    <w:rsid w:val="005741DC"/>
    <w:rsid w:val="005837FE"/>
    <w:rsid w:val="00584535"/>
    <w:rsid w:val="00584D8E"/>
    <w:rsid w:val="00584DB7"/>
    <w:rsid w:val="005850C8"/>
    <w:rsid w:val="00586070"/>
    <w:rsid w:val="00586411"/>
    <w:rsid w:val="00586E07"/>
    <w:rsid w:val="00587152"/>
    <w:rsid w:val="00590E92"/>
    <w:rsid w:val="00592570"/>
    <w:rsid w:val="005935AF"/>
    <w:rsid w:val="0059376E"/>
    <w:rsid w:val="005961E6"/>
    <w:rsid w:val="005A04D5"/>
    <w:rsid w:val="005A0DAB"/>
    <w:rsid w:val="005A291E"/>
    <w:rsid w:val="005A441F"/>
    <w:rsid w:val="005B1468"/>
    <w:rsid w:val="005B2417"/>
    <w:rsid w:val="005B2C4D"/>
    <w:rsid w:val="005B6822"/>
    <w:rsid w:val="005B7EDD"/>
    <w:rsid w:val="005C0ADA"/>
    <w:rsid w:val="005C2FE9"/>
    <w:rsid w:val="005C3F06"/>
    <w:rsid w:val="005C4541"/>
    <w:rsid w:val="005C4B2F"/>
    <w:rsid w:val="005C6299"/>
    <w:rsid w:val="005C7C4E"/>
    <w:rsid w:val="005D0E44"/>
    <w:rsid w:val="005D159C"/>
    <w:rsid w:val="005D1E65"/>
    <w:rsid w:val="005D2B27"/>
    <w:rsid w:val="005D424C"/>
    <w:rsid w:val="005D4506"/>
    <w:rsid w:val="005D46F4"/>
    <w:rsid w:val="005D5F96"/>
    <w:rsid w:val="005D6DCF"/>
    <w:rsid w:val="005E0227"/>
    <w:rsid w:val="005E05E5"/>
    <w:rsid w:val="005E1382"/>
    <w:rsid w:val="005E2134"/>
    <w:rsid w:val="005E53B7"/>
    <w:rsid w:val="005E5AA4"/>
    <w:rsid w:val="005E6812"/>
    <w:rsid w:val="005F005E"/>
    <w:rsid w:val="005F0984"/>
    <w:rsid w:val="005F1C8A"/>
    <w:rsid w:val="005F3EF3"/>
    <w:rsid w:val="005F4BE8"/>
    <w:rsid w:val="005F4DD0"/>
    <w:rsid w:val="005F7EFE"/>
    <w:rsid w:val="00602103"/>
    <w:rsid w:val="00603523"/>
    <w:rsid w:val="00606895"/>
    <w:rsid w:val="0060794B"/>
    <w:rsid w:val="00607A25"/>
    <w:rsid w:val="00607FFE"/>
    <w:rsid w:val="00610039"/>
    <w:rsid w:val="00610B87"/>
    <w:rsid w:val="00610C9D"/>
    <w:rsid w:val="00610E70"/>
    <w:rsid w:val="00611A89"/>
    <w:rsid w:val="006133D6"/>
    <w:rsid w:val="00616AE2"/>
    <w:rsid w:val="00617AD6"/>
    <w:rsid w:val="006209DF"/>
    <w:rsid w:val="00620BD9"/>
    <w:rsid w:val="0062335B"/>
    <w:rsid w:val="00625C88"/>
    <w:rsid w:val="006270DF"/>
    <w:rsid w:val="006319E0"/>
    <w:rsid w:val="00632986"/>
    <w:rsid w:val="00632F30"/>
    <w:rsid w:val="006337B7"/>
    <w:rsid w:val="00634817"/>
    <w:rsid w:val="00634DCE"/>
    <w:rsid w:val="00635B8A"/>
    <w:rsid w:val="00636408"/>
    <w:rsid w:val="00636806"/>
    <w:rsid w:val="00637508"/>
    <w:rsid w:val="00640500"/>
    <w:rsid w:val="00640FE2"/>
    <w:rsid w:val="0064207B"/>
    <w:rsid w:val="00642B97"/>
    <w:rsid w:val="00642C78"/>
    <w:rsid w:val="006433AF"/>
    <w:rsid w:val="00643550"/>
    <w:rsid w:val="006435E6"/>
    <w:rsid w:val="00643D3F"/>
    <w:rsid w:val="00644438"/>
    <w:rsid w:val="0064488F"/>
    <w:rsid w:val="006455EB"/>
    <w:rsid w:val="00646A59"/>
    <w:rsid w:val="0065043D"/>
    <w:rsid w:val="00650B23"/>
    <w:rsid w:val="006518CF"/>
    <w:rsid w:val="00652641"/>
    <w:rsid w:val="0065356B"/>
    <w:rsid w:val="0065445E"/>
    <w:rsid w:val="006576F4"/>
    <w:rsid w:val="0065791A"/>
    <w:rsid w:val="00657D95"/>
    <w:rsid w:val="00660222"/>
    <w:rsid w:val="00661635"/>
    <w:rsid w:val="00662FC4"/>
    <w:rsid w:val="00670538"/>
    <w:rsid w:val="00671120"/>
    <w:rsid w:val="0067384A"/>
    <w:rsid w:val="00673CD1"/>
    <w:rsid w:val="00673FCB"/>
    <w:rsid w:val="0067639C"/>
    <w:rsid w:val="006772F9"/>
    <w:rsid w:val="00677811"/>
    <w:rsid w:val="00681D78"/>
    <w:rsid w:val="006856E8"/>
    <w:rsid w:val="0069031E"/>
    <w:rsid w:val="00690A77"/>
    <w:rsid w:val="00695CA9"/>
    <w:rsid w:val="0069623A"/>
    <w:rsid w:val="006A071A"/>
    <w:rsid w:val="006A30CA"/>
    <w:rsid w:val="006A505C"/>
    <w:rsid w:val="006A6A35"/>
    <w:rsid w:val="006B0233"/>
    <w:rsid w:val="006B21AD"/>
    <w:rsid w:val="006B2D22"/>
    <w:rsid w:val="006B4EB0"/>
    <w:rsid w:val="006B5365"/>
    <w:rsid w:val="006B5D3B"/>
    <w:rsid w:val="006B72CA"/>
    <w:rsid w:val="006C0F1F"/>
    <w:rsid w:val="006C1765"/>
    <w:rsid w:val="006C17FF"/>
    <w:rsid w:val="006C1F1C"/>
    <w:rsid w:val="006C1FB4"/>
    <w:rsid w:val="006C2C37"/>
    <w:rsid w:val="006C3C16"/>
    <w:rsid w:val="006C5F56"/>
    <w:rsid w:val="006C6A79"/>
    <w:rsid w:val="006C6D88"/>
    <w:rsid w:val="006C7B16"/>
    <w:rsid w:val="006D0014"/>
    <w:rsid w:val="006D08D3"/>
    <w:rsid w:val="006D123F"/>
    <w:rsid w:val="006D3E56"/>
    <w:rsid w:val="006D7116"/>
    <w:rsid w:val="006E120D"/>
    <w:rsid w:val="006E1639"/>
    <w:rsid w:val="006E20DA"/>
    <w:rsid w:val="006E2389"/>
    <w:rsid w:val="006E259A"/>
    <w:rsid w:val="006E3525"/>
    <w:rsid w:val="006E399F"/>
    <w:rsid w:val="006E3E7B"/>
    <w:rsid w:val="006E461E"/>
    <w:rsid w:val="006E4C51"/>
    <w:rsid w:val="006E51D3"/>
    <w:rsid w:val="006E5D55"/>
    <w:rsid w:val="006E677A"/>
    <w:rsid w:val="006E7AF9"/>
    <w:rsid w:val="006F05FF"/>
    <w:rsid w:val="006F09AA"/>
    <w:rsid w:val="006F0FD6"/>
    <w:rsid w:val="006F1CB8"/>
    <w:rsid w:val="006F4255"/>
    <w:rsid w:val="006F543B"/>
    <w:rsid w:val="006F661D"/>
    <w:rsid w:val="006F7882"/>
    <w:rsid w:val="007062F2"/>
    <w:rsid w:val="00706529"/>
    <w:rsid w:val="007066EE"/>
    <w:rsid w:val="007071D5"/>
    <w:rsid w:val="00710FB1"/>
    <w:rsid w:val="007112DA"/>
    <w:rsid w:val="00712C0A"/>
    <w:rsid w:val="007147E5"/>
    <w:rsid w:val="00714DC2"/>
    <w:rsid w:val="00726671"/>
    <w:rsid w:val="007270B0"/>
    <w:rsid w:val="0073046C"/>
    <w:rsid w:val="007328ED"/>
    <w:rsid w:val="00732CDD"/>
    <w:rsid w:val="0073542D"/>
    <w:rsid w:val="0074244D"/>
    <w:rsid w:val="00742800"/>
    <w:rsid w:val="00742FDD"/>
    <w:rsid w:val="00743BAD"/>
    <w:rsid w:val="00743F4E"/>
    <w:rsid w:val="00744888"/>
    <w:rsid w:val="00745648"/>
    <w:rsid w:val="00745E2D"/>
    <w:rsid w:val="0074797F"/>
    <w:rsid w:val="007504A5"/>
    <w:rsid w:val="00750E5D"/>
    <w:rsid w:val="00750F5E"/>
    <w:rsid w:val="0075276F"/>
    <w:rsid w:val="00752BBA"/>
    <w:rsid w:val="0075492B"/>
    <w:rsid w:val="007549D1"/>
    <w:rsid w:val="00755357"/>
    <w:rsid w:val="0076040A"/>
    <w:rsid w:val="007614D0"/>
    <w:rsid w:val="0076249C"/>
    <w:rsid w:val="00762A82"/>
    <w:rsid w:val="00762FB4"/>
    <w:rsid w:val="007639D2"/>
    <w:rsid w:val="00765158"/>
    <w:rsid w:val="00773B50"/>
    <w:rsid w:val="00774100"/>
    <w:rsid w:val="00774764"/>
    <w:rsid w:val="00774B65"/>
    <w:rsid w:val="007752D9"/>
    <w:rsid w:val="007756CB"/>
    <w:rsid w:val="00776A09"/>
    <w:rsid w:val="00776FD2"/>
    <w:rsid w:val="00777772"/>
    <w:rsid w:val="00777B34"/>
    <w:rsid w:val="00780AA2"/>
    <w:rsid w:val="0078209F"/>
    <w:rsid w:val="0078268A"/>
    <w:rsid w:val="007828CC"/>
    <w:rsid w:val="007841F9"/>
    <w:rsid w:val="007853C6"/>
    <w:rsid w:val="007856A9"/>
    <w:rsid w:val="00785964"/>
    <w:rsid w:val="007905F5"/>
    <w:rsid w:val="00791C19"/>
    <w:rsid w:val="00792ACD"/>
    <w:rsid w:val="0079455B"/>
    <w:rsid w:val="00794CD2"/>
    <w:rsid w:val="007963CC"/>
    <w:rsid w:val="007973FF"/>
    <w:rsid w:val="00797799"/>
    <w:rsid w:val="007A0362"/>
    <w:rsid w:val="007A0B84"/>
    <w:rsid w:val="007A2A0C"/>
    <w:rsid w:val="007A4B2D"/>
    <w:rsid w:val="007A5752"/>
    <w:rsid w:val="007A6E27"/>
    <w:rsid w:val="007A7182"/>
    <w:rsid w:val="007A7B56"/>
    <w:rsid w:val="007A7DB6"/>
    <w:rsid w:val="007B00A8"/>
    <w:rsid w:val="007B3171"/>
    <w:rsid w:val="007B43D9"/>
    <w:rsid w:val="007B5587"/>
    <w:rsid w:val="007B64C0"/>
    <w:rsid w:val="007B7B63"/>
    <w:rsid w:val="007C02CF"/>
    <w:rsid w:val="007C10A0"/>
    <w:rsid w:val="007C1298"/>
    <w:rsid w:val="007C243B"/>
    <w:rsid w:val="007C3361"/>
    <w:rsid w:val="007C4FD7"/>
    <w:rsid w:val="007C5771"/>
    <w:rsid w:val="007C679F"/>
    <w:rsid w:val="007C768E"/>
    <w:rsid w:val="007D349F"/>
    <w:rsid w:val="007D4A7C"/>
    <w:rsid w:val="007E03BF"/>
    <w:rsid w:val="007E2A94"/>
    <w:rsid w:val="007E3808"/>
    <w:rsid w:val="007F2167"/>
    <w:rsid w:val="007F30E5"/>
    <w:rsid w:val="007F379E"/>
    <w:rsid w:val="007F3EE0"/>
    <w:rsid w:val="007F4EDA"/>
    <w:rsid w:val="007F5D08"/>
    <w:rsid w:val="007F6756"/>
    <w:rsid w:val="00804307"/>
    <w:rsid w:val="00806F51"/>
    <w:rsid w:val="00807649"/>
    <w:rsid w:val="00807936"/>
    <w:rsid w:val="00811C6A"/>
    <w:rsid w:val="00814D4E"/>
    <w:rsid w:val="008156B8"/>
    <w:rsid w:val="00816024"/>
    <w:rsid w:val="0081627C"/>
    <w:rsid w:val="0081731C"/>
    <w:rsid w:val="008202A8"/>
    <w:rsid w:val="00821840"/>
    <w:rsid w:val="00822BAD"/>
    <w:rsid w:val="00823D2C"/>
    <w:rsid w:val="00826935"/>
    <w:rsid w:val="0082762B"/>
    <w:rsid w:val="00830698"/>
    <w:rsid w:val="00830AAE"/>
    <w:rsid w:val="0083101D"/>
    <w:rsid w:val="00831C8A"/>
    <w:rsid w:val="008328AC"/>
    <w:rsid w:val="0083346E"/>
    <w:rsid w:val="0083352C"/>
    <w:rsid w:val="0083543D"/>
    <w:rsid w:val="008360A8"/>
    <w:rsid w:val="00836E25"/>
    <w:rsid w:val="00837730"/>
    <w:rsid w:val="0084438D"/>
    <w:rsid w:val="00845729"/>
    <w:rsid w:val="00846A09"/>
    <w:rsid w:val="008501E9"/>
    <w:rsid w:val="008507CC"/>
    <w:rsid w:val="00851132"/>
    <w:rsid w:val="00852733"/>
    <w:rsid w:val="00854290"/>
    <w:rsid w:val="008542DC"/>
    <w:rsid w:val="00854BDB"/>
    <w:rsid w:val="008551B5"/>
    <w:rsid w:val="00855F25"/>
    <w:rsid w:val="00856991"/>
    <w:rsid w:val="008613BE"/>
    <w:rsid w:val="00862A54"/>
    <w:rsid w:val="0086320A"/>
    <w:rsid w:val="00864136"/>
    <w:rsid w:val="008678CB"/>
    <w:rsid w:val="008734C3"/>
    <w:rsid w:val="00873A0E"/>
    <w:rsid w:val="00874174"/>
    <w:rsid w:val="00874A4B"/>
    <w:rsid w:val="00875EED"/>
    <w:rsid w:val="00875FE6"/>
    <w:rsid w:val="0087649C"/>
    <w:rsid w:val="008802AF"/>
    <w:rsid w:val="008802B6"/>
    <w:rsid w:val="00880927"/>
    <w:rsid w:val="00882C33"/>
    <w:rsid w:val="00885F69"/>
    <w:rsid w:val="0088623C"/>
    <w:rsid w:val="00887978"/>
    <w:rsid w:val="00890033"/>
    <w:rsid w:val="008909FC"/>
    <w:rsid w:val="00891C85"/>
    <w:rsid w:val="00893F12"/>
    <w:rsid w:val="00894353"/>
    <w:rsid w:val="00894D20"/>
    <w:rsid w:val="00895131"/>
    <w:rsid w:val="0089608F"/>
    <w:rsid w:val="00897796"/>
    <w:rsid w:val="008A334B"/>
    <w:rsid w:val="008A3478"/>
    <w:rsid w:val="008A497E"/>
    <w:rsid w:val="008A6B34"/>
    <w:rsid w:val="008B12CF"/>
    <w:rsid w:val="008B16FF"/>
    <w:rsid w:val="008B2DB2"/>
    <w:rsid w:val="008B47A3"/>
    <w:rsid w:val="008B58A1"/>
    <w:rsid w:val="008B70E1"/>
    <w:rsid w:val="008B7A07"/>
    <w:rsid w:val="008C0BA5"/>
    <w:rsid w:val="008C1A0F"/>
    <w:rsid w:val="008C23AD"/>
    <w:rsid w:val="008C2AE0"/>
    <w:rsid w:val="008C2B0F"/>
    <w:rsid w:val="008C42B3"/>
    <w:rsid w:val="008C5557"/>
    <w:rsid w:val="008C6E54"/>
    <w:rsid w:val="008C7F23"/>
    <w:rsid w:val="008D03BF"/>
    <w:rsid w:val="008D0C72"/>
    <w:rsid w:val="008D111A"/>
    <w:rsid w:val="008D1255"/>
    <w:rsid w:val="008D149A"/>
    <w:rsid w:val="008D2185"/>
    <w:rsid w:val="008D2E4C"/>
    <w:rsid w:val="008D3888"/>
    <w:rsid w:val="008D45CA"/>
    <w:rsid w:val="008D513D"/>
    <w:rsid w:val="008D5DE4"/>
    <w:rsid w:val="008E0E57"/>
    <w:rsid w:val="008E152A"/>
    <w:rsid w:val="008E19E6"/>
    <w:rsid w:val="008E259D"/>
    <w:rsid w:val="008E2E9F"/>
    <w:rsid w:val="008E3310"/>
    <w:rsid w:val="008E3EAD"/>
    <w:rsid w:val="008E407B"/>
    <w:rsid w:val="008E4844"/>
    <w:rsid w:val="008E5D69"/>
    <w:rsid w:val="008E7A09"/>
    <w:rsid w:val="008F17C1"/>
    <w:rsid w:val="008F35C2"/>
    <w:rsid w:val="008F5F54"/>
    <w:rsid w:val="009002E9"/>
    <w:rsid w:val="00901B95"/>
    <w:rsid w:val="00902930"/>
    <w:rsid w:val="00903127"/>
    <w:rsid w:val="009036FD"/>
    <w:rsid w:val="00904805"/>
    <w:rsid w:val="0090516D"/>
    <w:rsid w:val="00905207"/>
    <w:rsid w:val="00906E28"/>
    <w:rsid w:val="00910849"/>
    <w:rsid w:val="009119D4"/>
    <w:rsid w:val="00911F50"/>
    <w:rsid w:val="00912774"/>
    <w:rsid w:val="0091278A"/>
    <w:rsid w:val="009139C4"/>
    <w:rsid w:val="00913DCA"/>
    <w:rsid w:val="00916454"/>
    <w:rsid w:val="009174F3"/>
    <w:rsid w:val="00917784"/>
    <w:rsid w:val="00920641"/>
    <w:rsid w:val="00922A01"/>
    <w:rsid w:val="00922D2D"/>
    <w:rsid w:val="009236B3"/>
    <w:rsid w:val="00924551"/>
    <w:rsid w:val="00925A03"/>
    <w:rsid w:val="00926190"/>
    <w:rsid w:val="00926A1E"/>
    <w:rsid w:val="009273A3"/>
    <w:rsid w:val="00927A25"/>
    <w:rsid w:val="00931C0C"/>
    <w:rsid w:val="00932940"/>
    <w:rsid w:val="009337D5"/>
    <w:rsid w:val="009341BB"/>
    <w:rsid w:val="00935B53"/>
    <w:rsid w:val="00937032"/>
    <w:rsid w:val="00937171"/>
    <w:rsid w:val="009424A8"/>
    <w:rsid w:val="0094259B"/>
    <w:rsid w:val="0094284D"/>
    <w:rsid w:val="00942FF0"/>
    <w:rsid w:val="009443A2"/>
    <w:rsid w:val="00945C94"/>
    <w:rsid w:val="009467B0"/>
    <w:rsid w:val="0094714F"/>
    <w:rsid w:val="009500B4"/>
    <w:rsid w:val="009534C3"/>
    <w:rsid w:val="00953E4D"/>
    <w:rsid w:val="0095565E"/>
    <w:rsid w:val="0095598A"/>
    <w:rsid w:val="00956004"/>
    <w:rsid w:val="00956410"/>
    <w:rsid w:val="00956760"/>
    <w:rsid w:val="009568BD"/>
    <w:rsid w:val="00957005"/>
    <w:rsid w:val="00961B9B"/>
    <w:rsid w:val="00962897"/>
    <w:rsid w:val="00962B3E"/>
    <w:rsid w:val="009709B9"/>
    <w:rsid w:val="00971BCE"/>
    <w:rsid w:val="0097418B"/>
    <w:rsid w:val="00974889"/>
    <w:rsid w:val="00974AB1"/>
    <w:rsid w:val="00975E2E"/>
    <w:rsid w:val="00977F4A"/>
    <w:rsid w:val="00982011"/>
    <w:rsid w:val="00986CFD"/>
    <w:rsid w:val="00987C6C"/>
    <w:rsid w:val="009910C3"/>
    <w:rsid w:val="00994D05"/>
    <w:rsid w:val="00994FBC"/>
    <w:rsid w:val="009A04BB"/>
    <w:rsid w:val="009A0538"/>
    <w:rsid w:val="009A107C"/>
    <w:rsid w:val="009A3C60"/>
    <w:rsid w:val="009A432C"/>
    <w:rsid w:val="009A4356"/>
    <w:rsid w:val="009A5852"/>
    <w:rsid w:val="009A7739"/>
    <w:rsid w:val="009B19E7"/>
    <w:rsid w:val="009B1A43"/>
    <w:rsid w:val="009B260D"/>
    <w:rsid w:val="009B44DB"/>
    <w:rsid w:val="009B7626"/>
    <w:rsid w:val="009C03DB"/>
    <w:rsid w:val="009C0744"/>
    <w:rsid w:val="009C1679"/>
    <w:rsid w:val="009C3A6B"/>
    <w:rsid w:val="009C4C27"/>
    <w:rsid w:val="009C527B"/>
    <w:rsid w:val="009C557E"/>
    <w:rsid w:val="009C5DA8"/>
    <w:rsid w:val="009D20DA"/>
    <w:rsid w:val="009D267A"/>
    <w:rsid w:val="009D4923"/>
    <w:rsid w:val="009D4EF1"/>
    <w:rsid w:val="009D5501"/>
    <w:rsid w:val="009D58D1"/>
    <w:rsid w:val="009D6EDA"/>
    <w:rsid w:val="009D77E4"/>
    <w:rsid w:val="009D7823"/>
    <w:rsid w:val="009E0310"/>
    <w:rsid w:val="009E28FE"/>
    <w:rsid w:val="009E3579"/>
    <w:rsid w:val="009E4B2B"/>
    <w:rsid w:val="009E6BB9"/>
    <w:rsid w:val="009E6C81"/>
    <w:rsid w:val="009F0A73"/>
    <w:rsid w:val="009F0DB2"/>
    <w:rsid w:val="009F19F0"/>
    <w:rsid w:val="009F1FD4"/>
    <w:rsid w:val="009F28E2"/>
    <w:rsid w:val="009F3061"/>
    <w:rsid w:val="009F344B"/>
    <w:rsid w:val="009F5DB2"/>
    <w:rsid w:val="009F7B37"/>
    <w:rsid w:val="009F7F1B"/>
    <w:rsid w:val="00A026D1"/>
    <w:rsid w:val="00A028BC"/>
    <w:rsid w:val="00A03477"/>
    <w:rsid w:val="00A0376A"/>
    <w:rsid w:val="00A05670"/>
    <w:rsid w:val="00A05C26"/>
    <w:rsid w:val="00A063E7"/>
    <w:rsid w:val="00A06750"/>
    <w:rsid w:val="00A06966"/>
    <w:rsid w:val="00A14610"/>
    <w:rsid w:val="00A14ED9"/>
    <w:rsid w:val="00A1506F"/>
    <w:rsid w:val="00A15775"/>
    <w:rsid w:val="00A16FB0"/>
    <w:rsid w:val="00A1702C"/>
    <w:rsid w:val="00A17052"/>
    <w:rsid w:val="00A21244"/>
    <w:rsid w:val="00A21F39"/>
    <w:rsid w:val="00A245D2"/>
    <w:rsid w:val="00A24655"/>
    <w:rsid w:val="00A24777"/>
    <w:rsid w:val="00A3067B"/>
    <w:rsid w:val="00A31661"/>
    <w:rsid w:val="00A3186B"/>
    <w:rsid w:val="00A31A3D"/>
    <w:rsid w:val="00A32959"/>
    <w:rsid w:val="00A350C6"/>
    <w:rsid w:val="00A35D37"/>
    <w:rsid w:val="00A36089"/>
    <w:rsid w:val="00A42A7E"/>
    <w:rsid w:val="00A44416"/>
    <w:rsid w:val="00A4533B"/>
    <w:rsid w:val="00A4534A"/>
    <w:rsid w:val="00A455D6"/>
    <w:rsid w:val="00A47D87"/>
    <w:rsid w:val="00A51808"/>
    <w:rsid w:val="00A5296D"/>
    <w:rsid w:val="00A5324E"/>
    <w:rsid w:val="00A532E9"/>
    <w:rsid w:val="00A53FF9"/>
    <w:rsid w:val="00A541C2"/>
    <w:rsid w:val="00A55446"/>
    <w:rsid w:val="00A5548E"/>
    <w:rsid w:val="00A55537"/>
    <w:rsid w:val="00A55ADC"/>
    <w:rsid w:val="00A57C1E"/>
    <w:rsid w:val="00A60036"/>
    <w:rsid w:val="00A60C24"/>
    <w:rsid w:val="00A6204E"/>
    <w:rsid w:val="00A622DD"/>
    <w:rsid w:val="00A64BCA"/>
    <w:rsid w:val="00A6575F"/>
    <w:rsid w:val="00A663C8"/>
    <w:rsid w:val="00A6698A"/>
    <w:rsid w:val="00A67B16"/>
    <w:rsid w:val="00A7218C"/>
    <w:rsid w:val="00A727ED"/>
    <w:rsid w:val="00A72E91"/>
    <w:rsid w:val="00A73866"/>
    <w:rsid w:val="00A73BBA"/>
    <w:rsid w:val="00A74E85"/>
    <w:rsid w:val="00A75F73"/>
    <w:rsid w:val="00A764ED"/>
    <w:rsid w:val="00A76800"/>
    <w:rsid w:val="00A77F85"/>
    <w:rsid w:val="00A8010E"/>
    <w:rsid w:val="00A80E56"/>
    <w:rsid w:val="00A81F07"/>
    <w:rsid w:val="00A820B3"/>
    <w:rsid w:val="00A84CBA"/>
    <w:rsid w:val="00A84EE2"/>
    <w:rsid w:val="00A8601E"/>
    <w:rsid w:val="00A861C2"/>
    <w:rsid w:val="00A91B2E"/>
    <w:rsid w:val="00A91FB6"/>
    <w:rsid w:val="00A93BD2"/>
    <w:rsid w:val="00A93ED1"/>
    <w:rsid w:val="00AA19C3"/>
    <w:rsid w:val="00AA35F7"/>
    <w:rsid w:val="00AA38E0"/>
    <w:rsid w:val="00AA38F5"/>
    <w:rsid w:val="00AA4FEC"/>
    <w:rsid w:val="00AB0321"/>
    <w:rsid w:val="00AB1BD4"/>
    <w:rsid w:val="00AB56B4"/>
    <w:rsid w:val="00AB5A4A"/>
    <w:rsid w:val="00AC2A85"/>
    <w:rsid w:val="00AC3C88"/>
    <w:rsid w:val="00AC40FB"/>
    <w:rsid w:val="00AC6B7D"/>
    <w:rsid w:val="00AC790E"/>
    <w:rsid w:val="00AC797D"/>
    <w:rsid w:val="00AD026A"/>
    <w:rsid w:val="00AD1177"/>
    <w:rsid w:val="00AD15D7"/>
    <w:rsid w:val="00AD43E9"/>
    <w:rsid w:val="00AD45D9"/>
    <w:rsid w:val="00AD4973"/>
    <w:rsid w:val="00AD52CB"/>
    <w:rsid w:val="00AD57BA"/>
    <w:rsid w:val="00AD6329"/>
    <w:rsid w:val="00AD6CCE"/>
    <w:rsid w:val="00AD7F2F"/>
    <w:rsid w:val="00AE091A"/>
    <w:rsid w:val="00AE335B"/>
    <w:rsid w:val="00AE4118"/>
    <w:rsid w:val="00AE41F9"/>
    <w:rsid w:val="00AE624A"/>
    <w:rsid w:val="00AE73D5"/>
    <w:rsid w:val="00AE7CD6"/>
    <w:rsid w:val="00AE7ECA"/>
    <w:rsid w:val="00AF00DF"/>
    <w:rsid w:val="00AF0CC1"/>
    <w:rsid w:val="00AF1748"/>
    <w:rsid w:val="00AF1BE0"/>
    <w:rsid w:val="00AF253A"/>
    <w:rsid w:val="00AF26E8"/>
    <w:rsid w:val="00AF351B"/>
    <w:rsid w:val="00AF6862"/>
    <w:rsid w:val="00B00FD3"/>
    <w:rsid w:val="00B017B3"/>
    <w:rsid w:val="00B01E20"/>
    <w:rsid w:val="00B0221D"/>
    <w:rsid w:val="00B043B5"/>
    <w:rsid w:val="00B0673E"/>
    <w:rsid w:val="00B06BD5"/>
    <w:rsid w:val="00B07236"/>
    <w:rsid w:val="00B077CD"/>
    <w:rsid w:val="00B07A68"/>
    <w:rsid w:val="00B11A70"/>
    <w:rsid w:val="00B13789"/>
    <w:rsid w:val="00B13A52"/>
    <w:rsid w:val="00B13ECF"/>
    <w:rsid w:val="00B1589F"/>
    <w:rsid w:val="00B2056E"/>
    <w:rsid w:val="00B20B48"/>
    <w:rsid w:val="00B21C2F"/>
    <w:rsid w:val="00B228C0"/>
    <w:rsid w:val="00B252DC"/>
    <w:rsid w:val="00B25B26"/>
    <w:rsid w:val="00B270B2"/>
    <w:rsid w:val="00B2771B"/>
    <w:rsid w:val="00B301D6"/>
    <w:rsid w:val="00B3043E"/>
    <w:rsid w:val="00B31C4F"/>
    <w:rsid w:val="00B31E4D"/>
    <w:rsid w:val="00B32566"/>
    <w:rsid w:val="00B32E64"/>
    <w:rsid w:val="00B32FBB"/>
    <w:rsid w:val="00B3703B"/>
    <w:rsid w:val="00B40708"/>
    <w:rsid w:val="00B40DD9"/>
    <w:rsid w:val="00B42DB2"/>
    <w:rsid w:val="00B43241"/>
    <w:rsid w:val="00B44DD7"/>
    <w:rsid w:val="00B46CCD"/>
    <w:rsid w:val="00B47EC0"/>
    <w:rsid w:val="00B503A8"/>
    <w:rsid w:val="00B51611"/>
    <w:rsid w:val="00B5195D"/>
    <w:rsid w:val="00B51AB7"/>
    <w:rsid w:val="00B5217E"/>
    <w:rsid w:val="00B531B2"/>
    <w:rsid w:val="00B5333A"/>
    <w:rsid w:val="00B5464D"/>
    <w:rsid w:val="00B54E90"/>
    <w:rsid w:val="00B5586C"/>
    <w:rsid w:val="00B56B85"/>
    <w:rsid w:val="00B60BFE"/>
    <w:rsid w:val="00B635F8"/>
    <w:rsid w:val="00B63F0B"/>
    <w:rsid w:val="00B64E3B"/>
    <w:rsid w:val="00B663B3"/>
    <w:rsid w:val="00B66433"/>
    <w:rsid w:val="00B71275"/>
    <w:rsid w:val="00B732D0"/>
    <w:rsid w:val="00B74009"/>
    <w:rsid w:val="00B74D56"/>
    <w:rsid w:val="00B753B2"/>
    <w:rsid w:val="00B75743"/>
    <w:rsid w:val="00B777D6"/>
    <w:rsid w:val="00B80630"/>
    <w:rsid w:val="00B8105F"/>
    <w:rsid w:val="00B81E67"/>
    <w:rsid w:val="00B835B8"/>
    <w:rsid w:val="00B8378B"/>
    <w:rsid w:val="00B87465"/>
    <w:rsid w:val="00B914A7"/>
    <w:rsid w:val="00B95D26"/>
    <w:rsid w:val="00B95D59"/>
    <w:rsid w:val="00B9757A"/>
    <w:rsid w:val="00BA3123"/>
    <w:rsid w:val="00BA36BA"/>
    <w:rsid w:val="00BA4BA5"/>
    <w:rsid w:val="00BA667B"/>
    <w:rsid w:val="00BA6D2B"/>
    <w:rsid w:val="00BA79ED"/>
    <w:rsid w:val="00BB02FE"/>
    <w:rsid w:val="00BB2AE5"/>
    <w:rsid w:val="00BB402B"/>
    <w:rsid w:val="00BB558F"/>
    <w:rsid w:val="00BB5FF5"/>
    <w:rsid w:val="00BB611B"/>
    <w:rsid w:val="00BB775D"/>
    <w:rsid w:val="00BC0082"/>
    <w:rsid w:val="00BC03C3"/>
    <w:rsid w:val="00BC315A"/>
    <w:rsid w:val="00BC4D05"/>
    <w:rsid w:val="00BC5844"/>
    <w:rsid w:val="00BC602F"/>
    <w:rsid w:val="00BD0551"/>
    <w:rsid w:val="00BD0DD9"/>
    <w:rsid w:val="00BD1189"/>
    <w:rsid w:val="00BD2C25"/>
    <w:rsid w:val="00BD3E44"/>
    <w:rsid w:val="00BD5629"/>
    <w:rsid w:val="00BD5651"/>
    <w:rsid w:val="00BD6B8D"/>
    <w:rsid w:val="00BD7787"/>
    <w:rsid w:val="00BD7907"/>
    <w:rsid w:val="00BE3FCB"/>
    <w:rsid w:val="00BE464E"/>
    <w:rsid w:val="00BE6AF6"/>
    <w:rsid w:val="00BE7697"/>
    <w:rsid w:val="00BF05E5"/>
    <w:rsid w:val="00BF3EAD"/>
    <w:rsid w:val="00BF4D74"/>
    <w:rsid w:val="00BF54F6"/>
    <w:rsid w:val="00BF5E06"/>
    <w:rsid w:val="00BF72FA"/>
    <w:rsid w:val="00BF789D"/>
    <w:rsid w:val="00C00701"/>
    <w:rsid w:val="00C00F7E"/>
    <w:rsid w:val="00C019D0"/>
    <w:rsid w:val="00C03938"/>
    <w:rsid w:val="00C061DF"/>
    <w:rsid w:val="00C075A0"/>
    <w:rsid w:val="00C11145"/>
    <w:rsid w:val="00C126A4"/>
    <w:rsid w:val="00C12A44"/>
    <w:rsid w:val="00C155CD"/>
    <w:rsid w:val="00C20706"/>
    <w:rsid w:val="00C22F3D"/>
    <w:rsid w:val="00C23E7C"/>
    <w:rsid w:val="00C24225"/>
    <w:rsid w:val="00C25E42"/>
    <w:rsid w:val="00C25F39"/>
    <w:rsid w:val="00C25FED"/>
    <w:rsid w:val="00C2614F"/>
    <w:rsid w:val="00C302D3"/>
    <w:rsid w:val="00C327F5"/>
    <w:rsid w:val="00C3322B"/>
    <w:rsid w:val="00C33D02"/>
    <w:rsid w:val="00C341B7"/>
    <w:rsid w:val="00C35E0E"/>
    <w:rsid w:val="00C36870"/>
    <w:rsid w:val="00C37329"/>
    <w:rsid w:val="00C40E36"/>
    <w:rsid w:val="00C42B55"/>
    <w:rsid w:val="00C42C4B"/>
    <w:rsid w:val="00C42E5F"/>
    <w:rsid w:val="00C44D3D"/>
    <w:rsid w:val="00C469DE"/>
    <w:rsid w:val="00C534C0"/>
    <w:rsid w:val="00C56F1E"/>
    <w:rsid w:val="00C57D9C"/>
    <w:rsid w:val="00C57F21"/>
    <w:rsid w:val="00C619C1"/>
    <w:rsid w:val="00C6263B"/>
    <w:rsid w:val="00C6294C"/>
    <w:rsid w:val="00C62E00"/>
    <w:rsid w:val="00C675EF"/>
    <w:rsid w:val="00C67FBC"/>
    <w:rsid w:val="00C707EF"/>
    <w:rsid w:val="00C70CC6"/>
    <w:rsid w:val="00C71B15"/>
    <w:rsid w:val="00C71F12"/>
    <w:rsid w:val="00C73662"/>
    <w:rsid w:val="00C74F6C"/>
    <w:rsid w:val="00C77817"/>
    <w:rsid w:val="00C77C0E"/>
    <w:rsid w:val="00C80FA3"/>
    <w:rsid w:val="00C81525"/>
    <w:rsid w:val="00C82DAF"/>
    <w:rsid w:val="00C83041"/>
    <w:rsid w:val="00C848B3"/>
    <w:rsid w:val="00C84A87"/>
    <w:rsid w:val="00C84C18"/>
    <w:rsid w:val="00C84EC5"/>
    <w:rsid w:val="00C86FB1"/>
    <w:rsid w:val="00C87599"/>
    <w:rsid w:val="00C90809"/>
    <w:rsid w:val="00C9148B"/>
    <w:rsid w:val="00C921E7"/>
    <w:rsid w:val="00C9223D"/>
    <w:rsid w:val="00C92DBB"/>
    <w:rsid w:val="00C93316"/>
    <w:rsid w:val="00C93AFF"/>
    <w:rsid w:val="00C93BA3"/>
    <w:rsid w:val="00C945B8"/>
    <w:rsid w:val="00C94810"/>
    <w:rsid w:val="00C949B7"/>
    <w:rsid w:val="00C95079"/>
    <w:rsid w:val="00C9558E"/>
    <w:rsid w:val="00C95720"/>
    <w:rsid w:val="00C965AD"/>
    <w:rsid w:val="00C97E19"/>
    <w:rsid w:val="00CA36A2"/>
    <w:rsid w:val="00CA42C8"/>
    <w:rsid w:val="00CA4FCC"/>
    <w:rsid w:val="00CA6EED"/>
    <w:rsid w:val="00CB287E"/>
    <w:rsid w:val="00CB53F9"/>
    <w:rsid w:val="00CB5EA9"/>
    <w:rsid w:val="00CB636E"/>
    <w:rsid w:val="00CB74F2"/>
    <w:rsid w:val="00CB7B96"/>
    <w:rsid w:val="00CC198C"/>
    <w:rsid w:val="00CC3137"/>
    <w:rsid w:val="00CC3F39"/>
    <w:rsid w:val="00CC4233"/>
    <w:rsid w:val="00CC4364"/>
    <w:rsid w:val="00CC4832"/>
    <w:rsid w:val="00CC5809"/>
    <w:rsid w:val="00CC708B"/>
    <w:rsid w:val="00CD2A73"/>
    <w:rsid w:val="00CD3B6A"/>
    <w:rsid w:val="00CD5AA3"/>
    <w:rsid w:val="00CD5DDD"/>
    <w:rsid w:val="00CD704E"/>
    <w:rsid w:val="00CD7F51"/>
    <w:rsid w:val="00CE00BD"/>
    <w:rsid w:val="00CE0737"/>
    <w:rsid w:val="00CE14E3"/>
    <w:rsid w:val="00CE32ED"/>
    <w:rsid w:val="00CE52B7"/>
    <w:rsid w:val="00CF0299"/>
    <w:rsid w:val="00CF38AF"/>
    <w:rsid w:val="00CF4DBC"/>
    <w:rsid w:val="00D03877"/>
    <w:rsid w:val="00D054D2"/>
    <w:rsid w:val="00D103C4"/>
    <w:rsid w:val="00D104F0"/>
    <w:rsid w:val="00D10883"/>
    <w:rsid w:val="00D10FE3"/>
    <w:rsid w:val="00D126BA"/>
    <w:rsid w:val="00D1484B"/>
    <w:rsid w:val="00D1508B"/>
    <w:rsid w:val="00D1526B"/>
    <w:rsid w:val="00D171A6"/>
    <w:rsid w:val="00D176BF"/>
    <w:rsid w:val="00D20408"/>
    <w:rsid w:val="00D20DE8"/>
    <w:rsid w:val="00D2275F"/>
    <w:rsid w:val="00D22CA7"/>
    <w:rsid w:val="00D22D60"/>
    <w:rsid w:val="00D23620"/>
    <w:rsid w:val="00D2487B"/>
    <w:rsid w:val="00D25219"/>
    <w:rsid w:val="00D252DA"/>
    <w:rsid w:val="00D27DEA"/>
    <w:rsid w:val="00D27DEB"/>
    <w:rsid w:val="00D3029A"/>
    <w:rsid w:val="00D3056D"/>
    <w:rsid w:val="00D31872"/>
    <w:rsid w:val="00D321A9"/>
    <w:rsid w:val="00D328E7"/>
    <w:rsid w:val="00D34E3E"/>
    <w:rsid w:val="00D40AD3"/>
    <w:rsid w:val="00D410BE"/>
    <w:rsid w:val="00D45814"/>
    <w:rsid w:val="00D46033"/>
    <w:rsid w:val="00D46134"/>
    <w:rsid w:val="00D46217"/>
    <w:rsid w:val="00D471A0"/>
    <w:rsid w:val="00D5140D"/>
    <w:rsid w:val="00D516B7"/>
    <w:rsid w:val="00D51955"/>
    <w:rsid w:val="00D51A56"/>
    <w:rsid w:val="00D53899"/>
    <w:rsid w:val="00D53D5E"/>
    <w:rsid w:val="00D54F98"/>
    <w:rsid w:val="00D55695"/>
    <w:rsid w:val="00D55E7C"/>
    <w:rsid w:val="00D56069"/>
    <w:rsid w:val="00D56FEF"/>
    <w:rsid w:val="00D57278"/>
    <w:rsid w:val="00D573BE"/>
    <w:rsid w:val="00D60490"/>
    <w:rsid w:val="00D609C4"/>
    <w:rsid w:val="00D6121F"/>
    <w:rsid w:val="00D622C6"/>
    <w:rsid w:val="00D647AB"/>
    <w:rsid w:val="00D647F2"/>
    <w:rsid w:val="00D70785"/>
    <w:rsid w:val="00D70E9F"/>
    <w:rsid w:val="00D738F8"/>
    <w:rsid w:val="00D74C82"/>
    <w:rsid w:val="00D74F1E"/>
    <w:rsid w:val="00D7562B"/>
    <w:rsid w:val="00D765B1"/>
    <w:rsid w:val="00D7720D"/>
    <w:rsid w:val="00D82536"/>
    <w:rsid w:val="00D82ACE"/>
    <w:rsid w:val="00D83216"/>
    <w:rsid w:val="00D835DE"/>
    <w:rsid w:val="00D83B11"/>
    <w:rsid w:val="00D83B21"/>
    <w:rsid w:val="00D83E7F"/>
    <w:rsid w:val="00D84D97"/>
    <w:rsid w:val="00D84EED"/>
    <w:rsid w:val="00D901AC"/>
    <w:rsid w:val="00D91FE4"/>
    <w:rsid w:val="00D92188"/>
    <w:rsid w:val="00D92960"/>
    <w:rsid w:val="00D93424"/>
    <w:rsid w:val="00D96881"/>
    <w:rsid w:val="00D9689D"/>
    <w:rsid w:val="00D971EF"/>
    <w:rsid w:val="00D972CD"/>
    <w:rsid w:val="00D97310"/>
    <w:rsid w:val="00DA1615"/>
    <w:rsid w:val="00DA4F6E"/>
    <w:rsid w:val="00DA6D6B"/>
    <w:rsid w:val="00DA7B0C"/>
    <w:rsid w:val="00DB0025"/>
    <w:rsid w:val="00DB11E4"/>
    <w:rsid w:val="00DB20EE"/>
    <w:rsid w:val="00DB2C3E"/>
    <w:rsid w:val="00DB32F2"/>
    <w:rsid w:val="00DB4C8D"/>
    <w:rsid w:val="00DB4FC2"/>
    <w:rsid w:val="00DB519D"/>
    <w:rsid w:val="00DB5B02"/>
    <w:rsid w:val="00DC203E"/>
    <w:rsid w:val="00DC3651"/>
    <w:rsid w:val="00DC5EE3"/>
    <w:rsid w:val="00DC648C"/>
    <w:rsid w:val="00DC78BC"/>
    <w:rsid w:val="00DC7C2D"/>
    <w:rsid w:val="00DD16A2"/>
    <w:rsid w:val="00DD18A4"/>
    <w:rsid w:val="00DD3DF8"/>
    <w:rsid w:val="00DD5D30"/>
    <w:rsid w:val="00DD6E96"/>
    <w:rsid w:val="00DD7971"/>
    <w:rsid w:val="00DE0846"/>
    <w:rsid w:val="00DE2F10"/>
    <w:rsid w:val="00DE4026"/>
    <w:rsid w:val="00DE41C2"/>
    <w:rsid w:val="00DE632D"/>
    <w:rsid w:val="00DE6575"/>
    <w:rsid w:val="00DF12E1"/>
    <w:rsid w:val="00DF2066"/>
    <w:rsid w:val="00DF310F"/>
    <w:rsid w:val="00DF400B"/>
    <w:rsid w:val="00DF5A25"/>
    <w:rsid w:val="00DF5EF3"/>
    <w:rsid w:val="00DF7051"/>
    <w:rsid w:val="00E00B43"/>
    <w:rsid w:val="00E04248"/>
    <w:rsid w:val="00E0597C"/>
    <w:rsid w:val="00E07839"/>
    <w:rsid w:val="00E10CFB"/>
    <w:rsid w:val="00E11696"/>
    <w:rsid w:val="00E11DE3"/>
    <w:rsid w:val="00E12386"/>
    <w:rsid w:val="00E13CB3"/>
    <w:rsid w:val="00E15623"/>
    <w:rsid w:val="00E1620E"/>
    <w:rsid w:val="00E1628F"/>
    <w:rsid w:val="00E173A5"/>
    <w:rsid w:val="00E17CF7"/>
    <w:rsid w:val="00E2204B"/>
    <w:rsid w:val="00E23375"/>
    <w:rsid w:val="00E2463B"/>
    <w:rsid w:val="00E248D1"/>
    <w:rsid w:val="00E24B97"/>
    <w:rsid w:val="00E274DB"/>
    <w:rsid w:val="00E277C2"/>
    <w:rsid w:val="00E279D0"/>
    <w:rsid w:val="00E27D4C"/>
    <w:rsid w:val="00E27D72"/>
    <w:rsid w:val="00E27D89"/>
    <w:rsid w:val="00E317E8"/>
    <w:rsid w:val="00E37438"/>
    <w:rsid w:val="00E37499"/>
    <w:rsid w:val="00E41273"/>
    <w:rsid w:val="00E41B63"/>
    <w:rsid w:val="00E42BB8"/>
    <w:rsid w:val="00E42C36"/>
    <w:rsid w:val="00E44613"/>
    <w:rsid w:val="00E51465"/>
    <w:rsid w:val="00E523D8"/>
    <w:rsid w:val="00E55678"/>
    <w:rsid w:val="00E55E5B"/>
    <w:rsid w:val="00E60986"/>
    <w:rsid w:val="00E62A95"/>
    <w:rsid w:val="00E67DDB"/>
    <w:rsid w:val="00E67EDB"/>
    <w:rsid w:val="00E7171E"/>
    <w:rsid w:val="00E71D51"/>
    <w:rsid w:val="00E72CB9"/>
    <w:rsid w:val="00E74605"/>
    <w:rsid w:val="00E76061"/>
    <w:rsid w:val="00E77372"/>
    <w:rsid w:val="00E77F42"/>
    <w:rsid w:val="00E81546"/>
    <w:rsid w:val="00E8196D"/>
    <w:rsid w:val="00E82607"/>
    <w:rsid w:val="00E82CB8"/>
    <w:rsid w:val="00E84024"/>
    <w:rsid w:val="00E8524E"/>
    <w:rsid w:val="00E86AE3"/>
    <w:rsid w:val="00E9273E"/>
    <w:rsid w:val="00E939B0"/>
    <w:rsid w:val="00E94C43"/>
    <w:rsid w:val="00E9528D"/>
    <w:rsid w:val="00E95324"/>
    <w:rsid w:val="00EA0B1B"/>
    <w:rsid w:val="00EA0B2E"/>
    <w:rsid w:val="00EA273F"/>
    <w:rsid w:val="00EA421D"/>
    <w:rsid w:val="00EA5260"/>
    <w:rsid w:val="00EA5543"/>
    <w:rsid w:val="00EA68BC"/>
    <w:rsid w:val="00EA7BA4"/>
    <w:rsid w:val="00EB06E9"/>
    <w:rsid w:val="00EB1717"/>
    <w:rsid w:val="00EB4500"/>
    <w:rsid w:val="00EB45A5"/>
    <w:rsid w:val="00EB5B5F"/>
    <w:rsid w:val="00EB6B98"/>
    <w:rsid w:val="00EC03E9"/>
    <w:rsid w:val="00EC08A9"/>
    <w:rsid w:val="00EC0908"/>
    <w:rsid w:val="00EC1AB9"/>
    <w:rsid w:val="00EC2BFB"/>
    <w:rsid w:val="00EC4D50"/>
    <w:rsid w:val="00EC65C9"/>
    <w:rsid w:val="00EC7526"/>
    <w:rsid w:val="00ED1C2B"/>
    <w:rsid w:val="00ED2C08"/>
    <w:rsid w:val="00ED35BB"/>
    <w:rsid w:val="00ED471F"/>
    <w:rsid w:val="00ED533F"/>
    <w:rsid w:val="00ED720A"/>
    <w:rsid w:val="00ED732D"/>
    <w:rsid w:val="00ED7E25"/>
    <w:rsid w:val="00EE0C28"/>
    <w:rsid w:val="00EE3717"/>
    <w:rsid w:val="00EE4692"/>
    <w:rsid w:val="00EE569B"/>
    <w:rsid w:val="00EF05E2"/>
    <w:rsid w:val="00EF23CA"/>
    <w:rsid w:val="00EF377C"/>
    <w:rsid w:val="00EF3792"/>
    <w:rsid w:val="00EF3870"/>
    <w:rsid w:val="00EF4EC7"/>
    <w:rsid w:val="00EF51B2"/>
    <w:rsid w:val="00EF6192"/>
    <w:rsid w:val="00F0138E"/>
    <w:rsid w:val="00F0279A"/>
    <w:rsid w:val="00F03864"/>
    <w:rsid w:val="00F04787"/>
    <w:rsid w:val="00F04B2F"/>
    <w:rsid w:val="00F057A1"/>
    <w:rsid w:val="00F05A9C"/>
    <w:rsid w:val="00F05D39"/>
    <w:rsid w:val="00F07494"/>
    <w:rsid w:val="00F07784"/>
    <w:rsid w:val="00F13043"/>
    <w:rsid w:val="00F1318F"/>
    <w:rsid w:val="00F13A04"/>
    <w:rsid w:val="00F154D7"/>
    <w:rsid w:val="00F15F95"/>
    <w:rsid w:val="00F169EE"/>
    <w:rsid w:val="00F208CC"/>
    <w:rsid w:val="00F219B2"/>
    <w:rsid w:val="00F22BD2"/>
    <w:rsid w:val="00F23822"/>
    <w:rsid w:val="00F23F63"/>
    <w:rsid w:val="00F24AA9"/>
    <w:rsid w:val="00F25253"/>
    <w:rsid w:val="00F2795D"/>
    <w:rsid w:val="00F308FE"/>
    <w:rsid w:val="00F310C6"/>
    <w:rsid w:val="00F3137C"/>
    <w:rsid w:val="00F32FB5"/>
    <w:rsid w:val="00F33928"/>
    <w:rsid w:val="00F34ECC"/>
    <w:rsid w:val="00F37115"/>
    <w:rsid w:val="00F37793"/>
    <w:rsid w:val="00F40557"/>
    <w:rsid w:val="00F42682"/>
    <w:rsid w:val="00F42E56"/>
    <w:rsid w:val="00F431A7"/>
    <w:rsid w:val="00F459D8"/>
    <w:rsid w:val="00F45A62"/>
    <w:rsid w:val="00F45DEC"/>
    <w:rsid w:val="00F541BC"/>
    <w:rsid w:val="00F5440A"/>
    <w:rsid w:val="00F54729"/>
    <w:rsid w:val="00F561CE"/>
    <w:rsid w:val="00F563E7"/>
    <w:rsid w:val="00F604B1"/>
    <w:rsid w:val="00F61F0A"/>
    <w:rsid w:val="00F62204"/>
    <w:rsid w:val="00F630C8"/>
    <w:rsid w:val="00F6554E"/>
    <w:rsid w:val="00F65565"/>
    <w:rsid w:val="00F706D4"/>
    <w:rsid w:val="00F7659C"/>
    <w:rsid w:val="00F765C4"/>
    <w:rsid w:val="00F7672E"/>
    <w:rsid w:val="00F77E08"/>
    <w:rsid w:val="00F81176"/>
    <w:rsid w:val="00F82122"/>
    <w:rsid w:val="00F821AE"/>
    <w:rsid w:val="00F82E13"/>
    <w:rsid w:val="00F8444D"/>
    <w:rsid w:val="00F851D2"/>
    <w:rsid w:val="00F852D6"/>
    <w:rsid w:val="00F90556"/>
    <w:rsid w:val="00F92295"/>
    <w:rsid w:val="00F93A06"/>
    <w:rsid w:val="00F94D17"/>
    <w:rsid w:val="00F96703"/>
    <w:rsid w:val="00FA00C4"/>
    <w:rsid w:val="00FA0164"/>
    <w:rsid w:val="00FA0F2A"/>
    <w:rsid w:val="00FA0F4B"/>
    <w:rsid w:val="00FA273C"/>
    <w:rsid w:val="00FA2DBF"/>
    <w:rsid w:val="00FA3331"/>
    <w:rsid w:val="00FA45FF"/>
    <w:rsid w:val="00FA6527"/>
    <w:rsid w:val="00FB15CF"/>
    <w:rsid w:val="00FB2418"/>
    <w:rsid w:val="00FB412F"/>
    <w:rsid w:val="00FB4723"/>
    <w:rsid w:val="00FB4DC3"/>
    <w:rsid w:val="00FB5AFD"/>
    <w:rsid w:val="00FC0AED"/>
    <w:rsid w:val="00FC14F4"/>
    <w:rsid w:val="00FC37E8"/>
    <w:rsid w:val="00FC4402"/>
    <w:rsid w:val="00FC51A7"/>
    <w:rsid w:val="00FC59C9"/>
    <w:rsid w:val="00FD1AD7"/>
    <w:rsid w:val="00FD217F"/>
    <w:rsid w:val="00FD2ECB"/>
    <w:rsid w:val="00FD5A85"/>
    <w:rsid w:val="00FD5B3E"/>
    <w:rsid w:val="00FD71E8"/>
    <w:rsid w:val="00FD770B"/>
    <w:rsid w:val="00FD7D39"/>
    <w:rsid w:val="00FE016E"/>
    <w:rsid w:val="00FE10E5"/>
    <w:rsid w:val="00FE39C8"/>
    <w:rsid w:val="00FE3F58"/>
    <w:rsid w:val="00FE4F49"/>
    <w:rsid w:val="00FE53A8"/>
    <w:rsid w:val="00FE6012"/>
    <w:rsid w:val="00FF000E"/>
    <w:rsid w:val="00FF206A"/>
    <w:rsid w:val="00FF3447"/>
    <w:rsid w:val="00FF4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95E5C4"/>
  <w15:docId w15:val="{970C28A7-5D96-4CB0-A5CE-7C4FB0346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694B"/>
    <w:pPr>
      <w:keepNext/>
      <w:keepLines/>
      <w:spacing w:before="24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B032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B03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B032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0694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B0321"/>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B0321"/>
    <w:pPr>
      <w:ind w:left="720"/>
      <w:contextualSpacing/>
    </w:pPr>
  </w:style>
  <w:style w:type="table" w:styleId="TableGrid">
    <w:name w:val="Table Grid"/>
    <w:basedOn w:val="TableNormal"/>
    <w:uiPriority w:val="59"/>
    <w:rsid w:val="00F45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222E27"/>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A028BC"/>
    <w:rPr>
      <w:sz w:val="16"/>
      <w:szCs w:val="16"/>
    </w:rPr>
  </w:style>
  <w:style w:type="paragraph" w:styleId="CommentText">
    <w:name w:val="annotation text"/>
    <w:basedOn w:val="Normal"/>
    <w:link w:val="CommentTextChar"/>
    <w:uiPriority w:val="99"/>
    <w:unhideWhenUsed/>
    <w:rsid w:val="00A028BC"/>
    <w:pPr>
      <w:spacing w:line="240" w:lineRule="auto"/>
    </w:pPr>
    <w:rPr>
      <w:sz w:val="20"/>
      <w:szCs w:val="20"/>
    </w:rPr>
  </w:style>
  <w:style w:type="character" w:customStyle="1" w:styleId="CommentTextChar">
    <w:name w:val="Comment Text Char"/>
    <w:basedOn w:val="DefaultParagraphFont"/>
    <w:link w:val="CommentText"/>
    <w:uiPriority w:val="99"/>
    <w:rsid w:val="00A028BC"/>
    <w:rPr>
      <w:sz w:val="20"/>
      <w:szCs w:val="20"/>
    </w:rPr>
  </w:style>
  <w:style w:type="paragraph" w:styleId="CommentSubject">
    <w:name w:val="annotation subject"/>
    <w:basedOn w:val="CommentText"/>
    <w:next w:val="CommentText"/>
    <w:link w:val="CommentSubjectChar"/>
    <w:uiPriority w:val="99"/>
    <w:semiHidden/>
    <w:unhideWhenUsed/>
    <w:rsid w:val="00A028BC"/>
    <w:rPr>
      <w:b/>
      <w:bCs/>
    </w:rPr>
  </w:style>
  <w:style w:type="character" w:customStyle="1" w:styleId="CommentSubjectChar">
    <w:name w:val="Comment Subject Char"/>
    <w:basedOn w:val="CommentTextChar"/>
    <w:link w:val="CommentSubject"/>
    <w:uiPriority w:val="99"/>
    <w:semiHidden/>
    <w:rsid w:val="00A028BC"/>
    <w:rPr>
      <w:b/>
      <w:bCs/>
      <w:sz w:val="20"/>
      <w:szCs w:val="20"/>
    </w:rPr>
  </w:style>
  <w:style w:type="paragraph" w:styleId="BalloonText">
    <w:name w:val="Balloon Text"/>
    <w:basedOn w:val="Normal"/>
    <w:link w:val="BalloonTextChar"/>
    <w:uiPriority w:val="99"/>
    <w:semiHidden/>
    <w:unhideWhenUsed/>
    <w:rsid w:val="00A028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8BC"/>
    <w:rPr>
      <w:rFonts w:ascii="Tahoma" w:hAnsi="Tahoma" w:cs="Tahoma"/>
      <w:sz w:val="16"/>
      <w:szCs w:val="16"/>
    </w:rPr>
  </w:style>
  <w:style w:type="character" w:styleId="Hyperlink">
    <w:name w:val="Hyperlink"/>
    <w:basedOn w:val="DefaultParagraphFont"/>
    <w:uiPriority w:val="99"/>
    <w:unhideWhenUsed/>
    <w:rsid w:val="00027CE9"/>
    <w:rPr>
      <w:color w:val="0000FF" w:themeColor="hyperlink"/>
      <w:u w:val="single"/>
    </w:rPr>
  </w:style>
  <w:style w:type="character" w:styleId="UnresolvedMention">
    <w:name w:val="Unresolved Mention"/>
    <w:basedOn w:val="DefaultParagraphFont"/>
    <w:uiPriority w:val="99"/>
    <w:semiHidden/>
    <w:unhideWhenUsed/>
    <w:rsid w:val="001358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073861">
      <w:bodyDiv w:val="1"/>
      <w:marLeft w:val="0"/>
      <w:marRight w:val="0"/>
      <w:marTop w:val="0"/>
      <w:marBottom w:val="0"/>
      <w:divBdr>
        <w:top w:val="none" w:sz="0" w:space="0" w:color="auto"/>
        <w:left w:val="none" w:sz="0" w:space="0" w:color="auto"/>
        <w:bottom w:val="none" w:sz="0" w:space="0" w:color="auto"/>
        <w:right w:val="none" w:sz="0" w:space="0" w:color="auto"/>
      </w:divBdr>
      <w:divsChild>
        <w:div w:id="199125187">
          <w:marLeft w:val="0"/>
          <w:marRight w:val="0"/>
          <w:marTop w:val="0"/>
          <w:marBottom w:val="0"/>
          <w:divBdr>
            <w:top w:val="none" w:sz="0" w:space="0" w:color="auto"/>
            <w:left w:val="none" w:sz="0" w:space="0" w:color="auto"/>
            <w:bottom w:val="none" w:sz="0" w:space="0" w:color="auto"/>
            <w:right w:val="none" w:sz="0" w:space="0" w:color="auto"/>
          </w:divBdr>
        </w:div>
      </w:divsChild>
    </w:div>
    <w:div w:id="89242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isinfo@cd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355</TotalTime>
  <Pages>3</Pages>
  <Words>1175</Words>
  <Characters>6704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vev5</dc:creator>
  <cp:keywords/>
  <dc:description/>
  <cp:lastModifiedBy>Eric Larson</cp:lastModifiedBy>
  <cp:revision>6</cp:revision>
  <dcterms:created xsi:type="dcterms:W3CDTF">2025-05-22T14:54:00Z</dcterms:created>
  <dcterms:modified xsi:type="dcterms:W3CDTF">2025-05-23T15:01:00Z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2020-11-18T11:30:40Z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f9396bba-ad30-4d39-9fa1-1b3861b36292</vt:lpwstr>
  </property>
  <property fmtid="{D5CDD505-2E9C-101B-9397-08002B2CF9AE}" pid="8" name="MSIP_Label_8af03ff0-41c5-4c41-b55e-fabb8fae94be_ContentBits">
    <vt:lpwstr>0</vt:lpwstr>
  </property>
</Properties>
</file>